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医院肝素结合蛋白测定试剂盒</w:t>
      </w:r>
      <w:r>
        <w:rPr>
          <w:rFonts w:hint="eastAsia" w:ascii="Times New Roman" w:hAnsi="Times New Roman" w:cs="Times New Roman"/>
          <w:b w:val="0"/>
          <w:bCs w:val="0"/>
          <w:i w:val="0"/>
          <w:iCs w:val="0"/>
          <w:caps w:val="0"/>
          <w:color w:val="0000FF"/>
          <w:spacing w:val="0"/>
          <w:kern w:val="44"/>
          <w:sz w:val="32"/>
          <w:szCs w:val="32"/>
          <w:lang w:val="en-US" w:eastAsia="zh-CN" w:bidi="ar"/>
        </w:rPr>
        <w:t>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LX26CG002</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bookmarkStart w:id="21" w:name="_GoBack"/>
      <w:bookmarkEnd w:id="21"/>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430530415"/>
      <w:bookmarkStart w:id="1" w:name="_Toc27983215"/>
      <w:bookmarkStart w:id="2" w:name="_Toc1889"/>
      <w:bookmarkStart w:id="3" w:name="_Toc277082535"/>
      <w:bookmarkStart w:id="4" w:name="_Toc287620666"/>
      <w:bookmarkStart w:id="5" w:name="_Toc26666"/>
      <w:bookmarkStart w:id="6" w:name="_Toc109032458"/>
      <w:bookmarkStart w:id="7" w:name="_Toc224103298"/>
      <w:bookmarkStart w:id="8" w:name="_Toc287607727"/>
      <w:bookmarkStart w:id="9" w:name="_Toc509218691"/>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10</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17</w:t>
      </w:r>
      <w:r>
        <w:rPr>
          <w:rFonts w:hint="default" w:ascii="Times New Roman" w:hAnsi="Times New Roman" w:eastAsia="方正仿宋_GBK" w:cs="Times New Roman"/>
          <w:color w:val="auto"/>
          <w:sz w:val="24"/>
          <w:lang w:val="en-US" w:eastAsia="zh-CN"/>
        </w:rPr>
        <w:t>日</w:t>
      </w:r>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0FD9A5D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1379C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C5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C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肝素结合蛋白测定试剂盒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08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用于体外定量检测人血浆中肝素结合蛋白（</w:t>
            </w:r>
            <w:r>
              <w:rPr>
                <w:rFonts w:hint="default" w:ascii="Times New Roman" w:hAnsi="Times New Roman" w:eastAsia="宋体" w:cs="Times New Roman"/>
                <w:i w:val="0"/>
                <w:iCs w:val="0"/>
                <w:color w:val="000000"/>
                <w:kern w:val="0"/>
                <w:sz w:val="20"/>
                <w:szCs w:val="20"/>
                <w:u w:val="none"/>
                <w:lang w:val="en-US" w:eastAsia="zh-CN" w:bidi="ar"/>
              </w:rPr>
              <w:t>HBP</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AB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质控品独立注册，具有注册证；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≤8.5 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≤0.2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≤4.0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5.9 ng/mL ~ 300.0 ng/mL</w:t>
            </w:r>
            <w:r>
              <w:rPr>
                <w:rStyle w:val="26"/>
                <w:lang w:val="en-US" w:eastAsia="zh-CN" w:bidi="ar"/>
              </w:rPr>
              <w:t>区间内，其相关系数（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）不低于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CV≤5%</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孵育时间为</w:t>
            </w:r>
            <w:r>
              <w:rPr>
                <w:rFonts w:hint="default" w:ascii="Times New Roman" w:hAnsi="Times New Roman" w:eastAsia="宋体" w:cs="Times New Roman"/>
                <w:i w:val="0"/>
                <w:iCs w:val="0"/>
                <w:color w:val="000000"/>
                <w:kern w:val="0"/>
                <w:sz w:val="20"/>
                <w:szCs w:val="20"/>
                <w:u w:val="none"/>
                <w:lang w:val="en-US" w:eastAsia="zh-CN" w:bidi="ar"/>
              </w:rPr>
              <w:t>≤18min</w:t>
            </w:r>
            <w:r>
              <w:rPr>
                <w:rStyle w:val="26"/>
                <w:lang w:val="en-US" w:eastAsia="zh-CN" w:bidi="ar"/>
              </w:rPr>
              <w:t>。</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58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ICU</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34B8888F">
            <w:pPr>
              <w:keepNext w:val="0"/>
              <w:keepLines w:val="0"/>
              <w:widowControl/>
              <w:suppressLineNumbers w:val="0"/>
              <w:tabs>
                <w:tab w:val="left" w:pos="461"/>
              </w:tabs>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可与全自动荧光免疫分析仪Jet-iStar Max设备配套使用</w:t>
            </w:r>
          </w:p>
        </w:tc>
      </w:tr>
      <w:tr w14:paraId="5031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01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85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可溶性生长刺激表达基因</w:t>
            </w:r>
            <w:r>
              <w:rPr>
                <w:rStyle w:val="27"/>
                <w:rFonts w:eastAsia="宋体"/>
                <w:lang w:val="en-US" w:eastAsia="zh-CN" w:bidi="ar"/>
              </w:rPr>
              <w:t>2</w:t>
            </w:r>
            <w:r>
              <w:rPr>
                <w:rStyle w:val="26"/>
                <w:lang w:val="en-US" w:eastAsia="zh-CN" w:bidi="ar"/>
              </w:rPr>
              <w:t>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F7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用于体外定量测定人血清、血浆和全血中可溶性生长刺激表达基因</w:t>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蛋白</w:t>
            </w:r>
            <w:r>
              <w:rPr>
                <w:rFonts w:hint="default" w:ascii="Times New Roman" w:hAnsi="Times New Roman" w:eastAsia="宋体" w:cs="Times New Roman"/>
                <w:i w:val="0"/>
                <w:iCs w:val="0"/>
                <w:color w:val="000000"/>
                <w:kern w:val="0"/>
                <w:sz w:val="20"/>
                <w:szCs w:val="20"/>
                <w:u w:val="none"/>
                <w:lang w:val="en-US" w:eastAsia="zh-CN" w:bidi="ar"/>
              </w:rPr>
              <w:t>(ST2)</w:t>
            </w:r>
            <w:r>
              <w:rPr>
                <w:rStyle w:val="26"/>
                <w:lang w:val="en-US" w:eastAsia="zh-CN" w:bidi="ar"/>
              </w:rPr>
              <w:t>的浓度。可用于心力衰竭的辅助诊断。</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FC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≤5mg/mL</w:t>
            </w:r>
            <w:r>
              <w:rPr>
                <w:rStyle w:val="26"/>
                <w:lang w:val="en-US" w:eastAsia="zh-CN" w:bidi="ar"/>
              </w:rPr>
              <w:t>、胆红素（游离）</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 mg/mL</w:t>
            </w:r>
            <w:r>
              <w:rPr>
                <w:rStyle w:val="26"/>
                <w:lang w:val="en-US" w:eastAsia="zh-CN" w:bidi="ar"/>
              </w:rPr>
              <w:t>、类风湿因子</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3.0 ng/mL ~ 1000.0 ng/mL</w:t>
            </w:r>
            <w:r>
              <w:rPr>
                <w:rStyle w:val="26"/>
                <w:lang w:val="en-US" w:eastAsia="zh-CN" w:bidi="ar"/>
              </w:rPr>
              <w:t>区间内，其相关系数（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）不低于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心衰风险分层、预后评估和管理、指导用药。</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EF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84ECC2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006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C9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0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脑利钠肽测定试剂盒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09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用于体外定量测定人血浆</w:t>
            </w:r>
            <w:r>
              <w:rPr>
                <w:rFonts w:hint="default" w:ascii="Times New Roman" w:hAnsi="Times New Roman" w:eastAsia="宋体" w:cs="Times New Roman"/>
                <w:i w:val="0"/>
                <w:iCs w:val="0"/>
                <w:color w:val="000000"/>
                <w:kern w:val="0"/>
                <w:sz w:val="20"/>
                <w:szCs w:val="20"/>
                <w:u w:val="none"/>
                <w:lang w:val="en-US" w:eastAsia="zh-CN" w:bidi="ar"/>
              </w:rPr>
              <w:t>/</w:t>
            </w:r>
            <w:r>
              <w:rPr>
                <w:rStyle w:val="26"/>
                <w:lang w:val="en-US" w:eastAsia="zh-CN" w:bidi="ar"/>
              </w:rPr>
              <w:t>全血中脑利钠肽的浓度。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B8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 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ANP≤9.5 µg/L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NT-proBNP≤10ng/mL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CNP≤80ng/L</w:t>
            </w:r>
            <w:r>
              <w:rPr>
                <w:rStyle w:val="26"/>
                <w:lang w:val="en-US" w:eastAsia="zh-CN" w:bidi="ar"/>
              </w:rPr>
              <w:t>、血管紧张素</w:t>
            </w:r>
            <w:r>
              <w:rPr>
                <w:rFonts w:hint="default" w:ascii="Times New Roman" w:hAnsi="Times New Roman" w:eastAsia="宋体" w:cs="Times New Roman"/>
                <w:i w:val="0"/>
                <w:iCs w:val="0"/>
                <w:color w:val="000000"/>
                <w:kern w:val="0"/>
                <w:sz w:val="20"/>
                <w:szCs w:val="20"/>
                <w:u w:val="none"/>
                <w:lang w:val="en-US" w:eastAsia="zh-CN" w:bidi="ar"/>
              </w:rPr>
              <w:t>II≤80ng/L</w:t>
            </w:r>
            <w:r>
              <w:rPr>
                <w:rStyle w:val="26"/>
                <w:lang w:val="en-US" w:eastAsia="zh-CN" w:bidi="ar"/>
              </w:rPr>
              <w:t>、肾上腺素</w:t>
            </w:r>
            <w:r>
              <w:rPr>
                <w:rFonts w:hint="default" w:ascii="Times New Roman" w:hAnsi="Times New Roman" w:eastAsia="宋体" w:cs="Times New Roman"/>
                <w:i w:val="0"/>
                <w:iCs w:val="0"/>
                <w:color w:val="000000"/>
                <w:kern w:val="0"/>
                <w:sz w:val="20"/>
                <w:szCs w:val="20"/>
                <w:u w:val="none"/>
                <w:lang w:val="en-US" w:eastAsia="zh-CN" w:bidi="ar"/>
              </w:rPr>
              <w:t>≤0.9 µg/L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5.0 pg/mL ~ 5000.0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≤18min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可用于心力衰竭的辅助诊断。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70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279AE2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6BC2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5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7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降钙素原测定试剂盒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C0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主要用于体外定量检测人血清</w:t>
            </w:r>
            <w:r>
              <w:rPr>
                <w:rStyle w:val="27"/>
                <w:rFonts w:eastAsia="宋体"/>
                <w:lang w:val="en-US" w:eastAsia="zh-CN" w:bidi="ar"/>
              </w:rPr>
              <w:t>/</w:t>
            </w:r>
            <w:r>
              <w:rPr>
                <w:rStyle w:val="26"/>
                <w:lang w:val="en-US" w:eastAsia="zh-CN" w:bidi="ar"/>
              </w:rPr>
              <w:t>血浆</w:t>
            </w:r>
            <w:r>
              <w:rPr>
                <w:rStyle w:val="27"/>
                <w:rFonts w:eastAsia="宋体"/>
                <w:lang w:val="en-US" w:eastAsia="zh-CN" w:bidi="ar"/>
              </w:rPr>
              <w:t>/</w:t>
            </w:r>
            <w:r>
              <w:rPr>
                <w:rStyle w:val="26"/>
                <w:lang w:val="en-US" w:eastAsia="zh-CN" w:bidi="ar"/>
              </w:rPr>
              <w:t>全血中的降钙素原（</w:t>
            </w:r>
            <w:r>
              <w:rPr>
                <w:rStyle w:val="27"/>
                <w:rFonts w:eastAsia="宋体"/>
                <w:lang w:val="en-US" w:eastAsia="zh-CN" w:bidi="ar"/>
              </w:rPr>
              <w:t>PCT</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4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检测范围</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0.05-100ng/mL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≤0.15mg/mL</w:t>
            </w:r>
            <w:r>
              <w:rPr>
                <w:rStyle w:val="26"/>
                <w:lang w:val="en-US" w:eastAsia="zh-CN" w:bidi="ar"/>
              </w:rPr>
              <w:t>、类风湿因子</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0.05ng/ml ~ 100ng/mL</w:t>
            </w:r>
            <w:r>
              <w:rPr>
                <w:rStyle w:val="26"/>
                <w:lang w:val="en-US" w:eastAsia="zh-CN" w:bidi="ar"/>
              </w:rPr>
              <w:t>范围内，其相关系数（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≤10.0%</w:t>
            </w:r>
            <w:r>
              <w:rPr>
                <w:rStyle w:val="26"/>
                <w:lang w:val="en-US" w:eastAsia="zh-CN" w:bidi="ar"/>
              </w:rPr>
              <w:t>。批间差</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分钟；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w:t>
            </w:r>
            <w:r>
              <w:rPr>
                <w:rStyle w:val="26"/>
                <w:lang w:val="en-US" w:eastAsia="zh-CN" w:bidi="ar"/>
              </w:rPr>
              <w:t>重症细菌感染推荐检测项目，指导抗生素使用。</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2A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53E5AE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06DB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B4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08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w:t>
            </w:r>
            <w:r>
              <w:rPr>
                <w:rStyle w:val="26"/>
                <w:lang w:val="en-US" w:eastAsia="zh-CN" w:bidi="ar"/>
              </w:rPr>
              <w:t>二聚体测定试剂盒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43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用于体外定量测定人血浆、全血中的</w:t>
            </w:r>
            <w:r>
              <w:rPr>
                <w:rStyle w:val="27"/>
                <w:rFonts w:eastAsia="宋体"/>
                <w:lang w:val="en-US" w:eastAsia="zh-CN" w:bidi="ar"/>
              </w:rPr>
              <w:t>D-</w:t>
            </w:r>
            <w:r>
              <w:rPr>
                <w:rStyle w:val="26"/>
                <w:lang w:val="en-US" w:eastAsia="zh-CN" w:bidi="ar"/>
              </w:rPr>
              <w:t>二聚体的浓度。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AD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≤500 mg/dL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≤15 mg/dL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≤200mg/dL</w:t>
            </w:r>
            <w:r>
              <w:rPr>
                <w:rStyle w:val="26"/>
                <w:lang w:val="en-US" w:eastAsia="zh-CN" w:bidi="ar"/>
              </w:rPr>
              <w:t>、肝素浓度</w:t>
            </w:r>
            <w:r>
              <w:rPr>
                <w:rFonts w:hint="default" w:ascii="Times New Roman" w:hAnsi="Times New Roman" w:eastAsia="宋体" w:cs="Times New Roman"/>
                <w:i w:val="0"/>
                <w:iCs w:val="0"/>
                <w:color w:val="000000"/>
                <w:kern w:val="0"/>
                <w:sz w:val="20"/>
                <w:szCs w:val="20"/>
                <w:u w:val="none"/>
                <w:lang w:val="en-US" w:eastAsia="zh-CN" w:bidi="ar"/>
              </w:rPr>
              <w:t>≤3 mg/dL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50 ng/mL ~ 10000 ng/mL FEU</w:t>
            </w:r>
            <w:r>
              <w:rPr>
                <w:rStyle w:val="26"/>
                <w:lang w:val="en-US" w:eastAsia="zh-CN" w:bidi="ar"/>
              </w:rPr>
              <w:t>区间内，相关系数（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重复性要求：正常变异系数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，高值变异系数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≤12min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静脉血栓性疾病等引起的继发性纤维蛋白溶解功能亢进、弥散性血管内凝血的辅助诊断。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E41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3DC3BD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3A14E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C4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BC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肌钙蛋白</w:t>
            </w:r>
            <w:r>
              <w:rPr>
                <w:rStyle w:val="27"/>
                <w:rFonts w:eastAsia="宋体"/>
                <w:lang w:val="en-US" w:eastAsia="zh-CN" w:bidi="ar"/>
              </w:rPr>
              <w:t>I</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3A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用于体外定量测定人血清、血浆和全血中心肌肌钙蛋白</w:t>
            </w:r>
            <w:r>
              <w:rPr>
                <w:rStyle w:val="27"/>
                <w:rFonts w:eastAsia="宋体"/>
                <w:lang w:val="en-US" w:eastAsia="zh-CN" w:bidi="ar"/>
              </w:rPr>
              <w:t>I</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97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0.05 ng/mL ~ 30.00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90D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D013E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4208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15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17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超敏肌钙蛋白</w:t>
            </w:r>
            <w:r>
              <w:rPr>
                <w:rStyle w:val="27"/>
                <w:rFonts w:eastAsia="宋体"/>
                <w:lang w:val="en-US" w:eastAsia="zh-CN" w:bidi="ar"/>
              </w:rPr>
              <w:t>I</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E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用于体外定量测定人血清、血浆和全血中心肌肌钙蛋白</w:t>
            </w:r>
            <w:r>
              <w:rPr>
                <w:rFonts w:hint="default" w:ascii="Times New Roman" w:hAnsi="Times New Roman" w:eastAsia="宋体" w:cs="Times New Roman"/>
                <w:i w:val="0"/>
                <w:iCs w:val="0"/>
                <w:color w:val="000000"/>
                <w:kern w:val="0"/>
                <w:sz w:val="20"/>
                <w:szCs w:val="20"/>
                <w:u w:val="none"/>
                <w:lang w:val="en-US" w:eastAsia="zh-CN" w:bidi="ar"/>
              </w:rPr>
              <w:t>I</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4E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方法学：时间分辨免疫荧光法；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8.0pg/mL ~50000.0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11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6D8EF6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2172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1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73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心型脂肪酸结合蛋白测定试剂盒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F94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用于体外定量检测人血清、血浆和全血中心型脂肪酸结合蛋白的浓度。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0C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≤30μL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 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1.0 ng/mL ~ 120.0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≤15min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w:t>
            </w:r>
            <w:r>
              <w:rPr>
                <w:rFonts w:hint="default" w:ascii="Times New Roman" w:hAnsi="Times New Roman" w:eastAsia="宋体" w:cs="Times New Roman"/>
                <w:i w:val="0"/>
                <w:iCs w:val="0"/>
                <w:color w:val="000000"/>
                <w:kern w:val="0"/>
                <w:sz w:val="20"/>
                <w:szCs w:val="20"/>
                <w:u w:val="none"/>
                <w:lang w:val="en-US" w:eastAsia="zh-CN" w:bidi="ar"/>
              </w:rPr>
              <w:t>AMI</w:t>
            </w:r>
            <w:r>
              <w:rPr>
                <w:rStyle w:val="26"/>
                <w:lang w:val="en-US" w:eastAsia="zh-CN" w:bidi="ar"/>
              </w:rPr>
              <w:t>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1B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C658F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410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E7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7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氨基末端脑利钠肽前体测定试剂盒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3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用于体外定量测定人血清、血浆、全血中的氨基末端脑利钠肽前体的浓度。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FD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≤85μL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≤500 mg/dL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≤15 mg/dL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≤200mg/dL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30.0 pg/mL ~ 35000.0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≤18min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用于充血性心力衰竭的辅助诊断以及急性冠状动脉综合征和充血性心力衰竭者的危险分级；</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D9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1AFAF7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AC5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26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C1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6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用于体外定量测定人血清、血浆和全血中肌酸激酶同工酶的浓度。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1A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≤8.5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≤0.2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≤4.0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1.0 ng/mL ~ 80.0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10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25C103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AEB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5F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9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肌红蛋白测定试剂盒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C5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用于体外定量检测人血清、血浆和全血中肌红蛋白的浓度。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E3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≤30μL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 g/L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≤5.0g/L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g/L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 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2.4 ng/mL ~ 400.0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w:t>
            </w:r>
            <w:r>
              <w:rPr>
                <w:rFonts w:hint="default" w:ascii="Times New Roman" w:hAnsi="Times New Roman" w:eastAsia="宋体" w:cs="Times New Roman"/>
                <w:i w:val="0"/>
                <w:iCs w:val="0"/>
                <w:color w:val="000000"/>
                <w:kern w:val="0"/>
                <w:sz w:val="20"/>
                <w:szCs w:val="20"/>
                <w:u w:val="none"/>
                <w:lang w:val="en-US" w:eastAsia="zh-CN" w:bidi="ar"/>
              </w:rPr>
              <w:t>AMI</w:t>
            </w:r>
            <w:r>
              <w:rPr>
                <w:rStyle w:val="26"/>
                <w:lang w:val="en-US" w:eastAsia="zh-CN" w:bidi="ar"/>
              </w:rPr>
              <w:t>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69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FF191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5B09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FC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65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白介素</w:t>
            </w:r>
            <w:r>
              <w:rPr>
                <w:rStyle w:val="27"/>
                <w:rFonts w:eastAsia="宋体"/>
                <w:lang w:val="en-US" w:eastAsia="zh-CN" w:bidi="ar"/>
              </w:rPr>
              <w:t>6</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66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用于用于体外定量测定人血清、血浆和全血中白介素 </w:t>
            </w:r>
            <w:r>
              <w:rPr>
                <w:rStyle w:val="27"/>
                <w:rFonts w:eastAsia="宋体"/>
                <w:lang w:val="en-US" w:eastAsia="zh-CN" w:bidi="ar"/>
              </w:rPr>
              <w:t>6</w:t>
            </w:r>
            <w:r>
              <w:rPr>
                <w:rStyle w:val="26"/>
                <w:lang w:val="en-US" w:eastAsia="zh-CN" w:bidi="ar"/>
              </w:rPr>
              <w:t>（</w:t>
            </w:r>
            <w:r>
              <w:rPr>
                <w:rStyle w:val="27"/>
                <w:rFonts w:eastAsia="宋体"/>
                <w:lang w:val="en-US" w:eastAsia="zh-CN" w:bidi="ar"/>
              </w:rPr>
              <w:t>IL-6</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B0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检测范围</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3.0-5000pg/mL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板条和缓冲液室温保存，有效期不少于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3.0pg/ml ~ 5000pg/mL</w:t>
            </w:r>
            <w:r>
              <w:rPr>
                <w:rStyle w:val="26"/>
                <w:lang w:val="en-US" w:eastAsia="zh-CN" w:bidi="ar"/>
              </w:rPr>
              <w:t>范围内，其相关系数（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重复性要求：低浓度样本</w:t>
            </w:r>
            <w:r>
              <w:rPr>
                <w:rFonts w:hint="default" w:ascii="Times New Roman" w:hAnsi="Times New Roman" w:eastAsia="宋体" w:cs="Times New Roman"/>
                <w:i w:val="0"/>
                <w:iCs w:val="0"/>
                <w:color w:val="000000"/>
                <w:kern w:val="0"/>
                <w:sz w:val="20"/>
                <w:szCs w:val="20"/>
                <w:u w:val="none"/>
                <w:lang w:val="en-US" w:eastAsia="zh-CN" w:bidi="ar"/>
              </w:rPr>
              <w:t xml:space="preserve">(30±3)pg/mL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）应</w:t>
            </w:r>
            <w:r>
              <w:rPr>
                <w:rFonts w:hint="default" w:ascii="Times New Roman" w:hAnsi="Times New Roman" w:eastAsia="宋体" w:cs="Times New Roman"/>
                <w:i w:val="0"/>
                <w:iCs w:val="0"/>
                <w:color w:val="000000"/>
                <w:kern w:val="0"/>
                <w:sz w:val="20"/>
                <w:szCs w:val="20"/>
                <w:u w:val="none"/>
                <w:lang w:val="en-US" w:eastAsia="zh-CN" w:bidi="ar"/>
              </w:rPr>
              <w:t>≤12.0%</w:t>
            </w:r>
            <w:r>
              <w:rPr>
                <w:rStyle w:val="26"/>
                <w:lang w:val="en-US" w:eastAsia="zh-CN" w:bidi="ar"/>
              </w:rPr>
              <w:t>，高浓度样本（</w:t>
            </w:r>
            <w:r>
              <w:rPr>
                <w:rFonts w:hint="default" w:ascii="Times New Roman" w:hAnsi="Times New Roman" w:eastAsia="宋体" w:cs="Times New Roman"/>
                <w:i w:val="0"/>
                <w:iCs w:val="0"/>
                <w:color w:val="000000"/>
                <w:kern w:val="0"/>
                <w:sz w:val="20"/>
                <w:szCs w:val="20"/>
                <w:u w:val="none"/>
                <w:lang w:val="en-US" w:eastAsia="zh-CN" w:bidi="ar"/>
              </w:rPr>
              <w:t>1000±100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pg/mL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）应</w:t>
            </w:r>
            <w:r>
              <w:rPr>
                <w:rFonts w:hint="default" w:ascii="Times New Roman" w:hAnsi="Times New Roman" w:eastAsia="宋体" w:cs="Times New Roman"/>
                <w:i w:val="0"/>
                <w:iCs w:val="0"/>
                <w:color w:val="000000"/>
                <w:kern w:val="0"/>
                <w:sz w:val="20"/>
                <w:szCs w:val="20"/>
                <w:u w:val="none"/>
                <w:lang w:val="en-US" w:eastAsia="zh-CN" w:bidi="ar"/>
              </w:rPr>
              <w:t>≤10.0%</w:t>
            </w:r>
            <w:r>
              <w:rPr>
                <w:rStyle w:val="26"/>
                <w:lang w:val="en-US" w:eastAsia="zh-CN" w:bidi="ar"/>
              </w:rPr>
              <w:t>。批间差</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w:t>
            </w:r>
            <w:r>
              <w:rPr>
                <w:rStyle w:val="26"/>
                <w:lang w:val="en-US" w:eastAsia="zh-CN" w:bidi="ar"/>
              </w:rPr>
              <w:t>急性感染的早期诊断、感染严重程度评估、脓毒症预警等。</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ED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1DC502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77F85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21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E9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中性粒细胞明胶酶相关脂质运载蛋白测定试剂盒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B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用于体外定量检测人尿液、血清、血浆和全血中中性粒细胞明胶酶相关脂质运载蛋白的浓度。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C7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15</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每次测定使用样本量为尿液</w:t>
            </w:r>
            <w:r>
              <w:rPr>
                <w:rFonts w:hint="default" w:ascii="Times New Roman" w:hAnsi="Times New Roman" w:eastAsia="宋体" w:cs="Times New Roman"/>
                <w:i w:val="0"/>
                <w:iCs w:val="0"/>
                <w:color w:val="000000"/>
                <w:kern w:val="0"/>
                <w:sz w:val="20"/>
                <w:szCs w:val="20"/>
                <w:u w:val="none"/>
                <w:lang w:val="en-US" w:eastAsia="zh-CN" w:bidi="ar"/>
              </w:rPr>
              <w:t>≤15μL</w:t>
            </w:r>
            <w:r>
              <w:rPr>
                <w:rStyle w:val="26"/>
                <w:lang w:val="en-US" w:eastAsia="zh-CN" w:bidi="ar"/>
              </w:rPr>
              <w:t>，血液</w:t>
            </w:r>
            <w:r>
              <w:rPr>
                <w:rFonts w:hint="default" w:ascii="Times New Roman" w:hAnsi="Times New Roman" w:eastAsia="宋体" w:cs="Times New Roman"/>
                <w:i w:val="0"/>
                <w:iCs w:val="0"/>
                <w:color w:val="000000"/>
                <w:kern w:val="0"/>
                <w:sz w:val="20"/>
                <w:szCs w:val="20"/>
                <w:u w:val="none"/>
                <w:lang w:val="en-US" w:eastAsia="zh-CN" w:bidi="ar"/>
              </w:rPr>
              <w:t>≤10μL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抗干扰要求：血液中维生素</w:t>
            </w:r>
            <w:r>
              <w:rPr>
                <w:rFonts w:hint="default" w:ascii="Times New Roman" w:hAnsi="Times New Roman" w:eastAsia="宋体" w:cs="Times New Roman"/>
                <w:i w:val="0"/>
                <w:iCs w:val="0"/>
                <w:color w:val="000000"/>
                <w:kern w:val="0"/>
                <w:sz w:val="20"/>
                <w:szCs w:val="20"/>
                <w:u w:val="none"/>
                <w:lang w:val="en-US" w:eastAsia="zh-CN" w:bidi="ar"/>
              </w:rPr>
              <w:t>C≤5.0mg/mL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≤15.0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≤0.3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 IU/mL</w:t>
            </w:r>
            <w:r>
              <w:rPr>
                <w:rStyle w:val="26"/>
                <w:lang w:val="en-US" w:eastAsia="zh-CN" w:bidi="ar"/>
              </w:rPr>
              <w:t>对测试结果没有影响；尿液中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维生素</w:t>
            </w:r>
            <w:r>
              <w:rPr>
                <w:rFonts w:hint="default" w:ascii="Times New Roman" w:hAnsi="Times New Roman" w:eastAsia="宋体" w:cs="Times New Roman"/>
                <w:i w:val="0"/>
                <w:iCs w:val="0"/>
                <w:color w:val="000000"/>
                <w:kern w:val="0"/>
                <w:sz w:val="20"/>
                <w:szCs w:val="20"/>
                <w:u w:val="none"/>
                <w:lang w:val="en-US" w:eastAsia="zh-CN" w:bidi="ar"/>
              </w:rPr>
              <w:t>C≤5.0mg/mL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50 ng/mL ~ 5000.0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≤15min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新的急性肾损伤早期指标，已列入</w:t>
            </w:r>
            <w:r>
              <w:rPr>
                <w:rFonts w:hint="default" w:ascii="Times New Roman" w:hAnsi="Times New Roman" w:eastAsia="宋体" w:cs="Times New Roman"/>
                <w:i w:val="0"/>
                <w:iCs w:val="0"/>
                <w:color w:val="000000"/>
                <w:kern w:val="0"/>
                <w:sz w:val="20"/>
                <w:szCs w:val="20"/>
                <w:u w:val="none"/>
                <w:lang w:val="en-US" w:eastAsia="zh-CN" w:bidi="ar"/>
              </w:rPr>
              <w:t>2009</w:t>
            </w:r>
            <w:r>
              <w:rPr>
                <w:rStyle w:val="26"/>
                <w:lang w:val="en-US" w:eastAsia="zh-CN" w:bidi="ar"/>
              </w:rPr>
              <w:t>版卫生部急性肾损伤临床路径。</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7B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6DFDB2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2B8A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EF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9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冲洗液</w:t>
            </w:r>
          </w:p>
        </w:tc>
        <w:tc>
          <w:tcPr>
            <w:tcW w:w="2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432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分析pH、pO</w:t>
            </w:r>
            <w:r>
              <w:rPr>
                <w:rStyle w:val="28"/>
                <w:lang w:val="en-US" w:eastAsia="zh-CN" w:bidi="ar"/>
              </w:rPr>
              <w:t>2</w:t>
            </w:r>
            <w:r>
              <w:rPr>
                <w:rStyle w:val="26"/>
                <w:lang w:val="en-US" w:eastAsia="zh-CN" w:bidi="ar"/>
              </w:rPr>
              <w:t>、pCO</w:t>
            </w:r>
            <w:r>
              <w:rPr>
                <w:rStyle w:val="28"/>
                <w:lang w:val="en-US" w:eastAsia="zh-CN" w:bidi="ar"/>
              </w:rPr>
              <w:t>2</w:t>
            </w:r>
            <w:r>
              <w:rPr>
                <w:rStyle w:val="26"/>
                <w:lang w:val="en-US" w:eastAsia="zh-CN" w:bidi="ar"/>
              </w:rPr>
              <w:t>，Na</w:t>
            </w:r>
            <w:r>
              <w:rPr>
                <w:rStyle w:val="29"/>
                <w:lang w:val="en-US" w:eastAsia="zh-CN" w:bidi="ar"/>
              </w:rPr>
              <w:t>+</w:t>
            </w:r>
            <w:r>
              <w:rPr>
                <w:rStyle w:val="26"/>
                <w:lang w:val="en-US" w:eastAsia="zh-CN" w:bidi="ar"/>
              </w:rPr>
              <w:t>、K</w:t>
            </w:r>
            <w:r>
              <w:rPr>
                <w:rStyle w:val="29"/>
                <w:lang w:val="en-US" w:eastAsia="zh-CN" w:bidi="ar"/>
              </w:rPr>
              <w:t>+</w:t>
            </w:r>
            <w:r>
              <w:rPr>
                <w:rStyle w:val="26"/>
                <w:lang w:val="en-US" w:eastAsia="zh-CN" w:bidi="ar"/>
              </w:rPr>
              <w:t>、Ca</w:t>
            </w:r>
            <w:r>
              <w:rPr>
                <w:rStyle w:val="29"/>
                <w:lang w:val="en-US" w:eastAsia="zh-CN" w:bidi="ar"/>
              </w:rPr>
              <w:t>2+</w:t>
            </w:r>
            <w:r>
              <w:rPr>
                <w:rStyle w:val="26"/>
                <w:lang w:val="en-US" w:eastAsia="zh-CN" w:bidi="ar"/>
              </w:rPr>
              <w:t>、Cl</w:t>
            </w:r>
            <w:r>
              <w:rPr>
                <w:rStyle w:val="29"/>
                <w:lang w:val="en-US" w:eastAsia="zh-CN" w:bidi="ar"/>
              </w:rPr>
              <w:t>-</w:t>
            </w:r>
            <w:r>
              <w:rPr>
                <w:rStyle w:val="26"/>
                <w:lang w:val="en-US" w:eastAsia="zh-CN" w:bidi="ar"/>
              </w:rPr>
              <w:t xml:space="preserve"> 、Lac、sO2, ctHb, FO2Hb, FCOHb, FMetHb, FHHb, FHbF，Glu，tBil等测量参数，用以诊断患者的酸碱平衡及血氧代谢物等数值，快速、直观判别患者体内的呼吸、代谢情况</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97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30"/>
                <w:lang w:val="en-US" w:eastAsia="zh-CN" w:bidi="ar"/>
              </w:rPr>
              <w:t>冲洗液用途</w:t>
            </w:r>
            <w:r>
              <w:rPr>
                <w:rStyle w:val="31"/>
                <w:rFonts w:eastAsia="宋体"/>
                <w:lang w:val="en-US" w:eastAsia="zh-CN" w:bidi="ar"/>
              </w:rPr>
              <w:t>:</w:t>
            </w:r>
            <w:r>
              <w:rPr>
                <w:rStyle w:val="30"/>
                <w:lang w:val="en-US" w:eastAsia="zh-CN" w:bidi="ar"/>
              </w:rPr>
              <w:t>用于自动冲洗</w:t>
            </w:r>
            <w:r>
              <w:rPr>
                <w:rStyle w:val="31"/>
                <w:rFonts w:eastAsia="宋体"/>
                <w:lang w:val="en-US" w:eastAsia="zh-CN" w:bidi="ar"/>
              </w:rPr>
              <w:t>ABL800</w:t>
            </w:r>
            <w:r>
              <w:rPr>
                <w:rStyle w:val="30"/>
                <w:lang w:val="en-US" w:eastAsia="zh-CN" w:bidi="ar"/>
              </w:rPr>
              <w:t>分析仪中的测量系统</w:t>
            </w:r>
            <w:r>
              <w:rPr>
                <w:rStyle w:val="31"/>
                <w:rFonts w:eastAsia="宋体"/>
                <w:lang w:val="en-US" w:eastAsia="zh-CN" w:bidi="ar"/>
              </w:rPr>
              <w:t>:</w:t>
            </w:r>
            <w:r>
              <w:rPr>
                <w:rStyle w:val="31"/>
                <w:rFonts w:eastAsia="宋体"/>
                <w:lang w:val="en-US" w:eastAsia="zh-CN" w:bidi="ar"/>
              </w:rPr>
              <w:br w:type="textWrapping"/>
            </w:r>
            <w:r>
              <w:rPr>
                <w:rStyle w:val="31"/>
                <w:rFonts w:eastAsia="宋体"/>
                <w:lang w:val="en-US" w:eastAsia="zh-CN" w:bidi="ar"/>
              </w:rPr>
              <w:t>2</w:t>
            </w:r>
            <w:r>
              <w:rPr>
                <w:rStyle w:val="30"/>
                <w:lang w:val="en-US" w:eastAsia="zh-CN" w:bidi="ar"/>
              </w:rPr>
              <w:t>主要成分</w:t>
            </w:r>
            <w:r>
              <w:rPr>
                <w:rStyle w:val="31"/>
                <w:rFonts w:eastAsia="宋体"/>
                <w:lang w:val="en-US" w:eastAsia="zh-CN" w:bidi="ar"/>
              </w:rPr>
              <w:t xml:space="preserve">: </w:t>
            </w:r>
            <w:r>
              <w:rPr>
                <w:rStyle w:val="30"/>
                <w:lang w:val="en-US" w:eastAsia="zh-CN" w:bidi="ar"/>
              </w:rPr>
              <w:t>盐、缓冲液、抗凝剂、防腐剂、表面活性剂和酶。</w:t>
            </w:r>
            <w:r>
              <w:rPr>
                <w:rStyle w:val="31"/>
                <w:rFonts w:eastAsia="宋体"/>
                <w:lang w:val="en-US" w:eastAsia="zh-CN" w:bidi="ar"/>
              </w:rPr>
              <w:br w:type="textWrapping"/>
            </w:r>
            <w:r>
              <w:rPr>
                <w:rStyle w:val="31"/>
                <w:rFonts w:eastAsia="宋体"/>
                <w:lang w:val="en-US" w:eastAsia="zh-CN" w:bidi="ar"/>
              </w:rPr>
              <w:t xml:space="preserve">3. </w:t>
            </w:r>
            <w:r>
              <w:rPr>
                <w:rStyle w:val="30"/>
                <w:lang w:val="en-US" w:eastAsia="zh-CN" w:bidi="ar"/>
              </w:rPr>
              <w:t>储存条件</w:t>
            </w:r>
            <w:r>
              <w:rPr>
                <w:rStyle w:val="31"/>
                <w:rFonts w:eastAsia="宋体"/>
                <w:lang w:val="en-US" w:eastAsia="zh-CN" w:bidi="ar"/>
              </w:rPr>
              <w:t>: 2-32°C</w:t>
            </w:r>
            <w:r>
              <w:rPr>
                <w:rStyle w:val="31"/>
                <w:rFonts w:eastAsia="宋体"/>
                <w:lang w:val="en-US" w:eastAsia="zh-CN" w:bidi="ar"/>
              </w:rPr>
              <w:br w:type="textWrapping"/>
            </w:r>
            <w:r>
              <w:rPr>
                <w:rStyle w:val="31"/>
                <w:rFonts w:eastAsia="宋体"/>
                <w:lang w:val="en-US" w:eastAsia="zh-CN" w:bidi="ar"/>
              </w:rPr>
              <w:t xml:space="preserve">4. </w:t>
            </w:r>
            <w:r>
              <w:rPr>
                <w:rStyle w:val="30"/>
                <w:lang w:val="en-US" w:eastAsia="zh-CN" w:bidi="ar"/>
              </w:rPr>
              <w:t>规格容量</w:t>
            </w:r>
            <w:r>
              <w:rPr>
                <w:rStyle w:val="31"/>
                <w:rFonts w:eastAsia="宋体"/>
                <w:lang w:val="en-US" w:eastAsia="zh-CN" w:bidi="ar"/>
              </w:rPr>
              <w:t>: 600ml/</w:t>
            </w:r>
            <w:r>
              <w:rPr>
                <w:rStyle w:val="30"/>
                <w:lang w:val="en-US" w:eastAsia="zh-CN" w:bidi="ar"/>
              </w:rPr>
              <w:t>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DD1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959EC12">
            <w:pPr>
              <w:keepNext w:val="0"/>
              <w:keepLines w:val="0"/>
              <w:suppressLineNumbers w:val="0"/>
              <w:tabs>
                <w:tab w:val="left" w:pos="355"/>
              </w:tabs>
              <w:spacing w:before="0" w:beforeAutospacing="0" w:after="0" w:afterAutospacing="0"/>
              <w:ind w:left="0" w:right="0"/>
              <w:jc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可与血气分析仪ABL800FLEX配套使用</w:t>
            </w:r>
          </w:p>
        </w:tc>
      </w:tr>
      <w:tr w14:paraId="2522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E6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63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血气、电解质、代谢物定标液（定标液1）</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F3C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CF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1产品用途：配套ABL800FLEX血气分析仪，对PH值、钾离子（K+）、钠离子（Na+）钙离子（Ca+)、氯离子（Cl)、葡萄糖（Glu)、乳酸（Lac)定量检测项目检测时进行定标。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主要成分：PH(7.40)、K+(4mmol/L)、Na+(145mmol/L)Ca+(1.25mmol/L)、Cl（102mmol/L)、Glu（10mmol/L)、Lac(4mmol/L)、缓冲液（HEPES)、防腐剂（2-甲基-2异噻唑-3酮和二唑烷基脲），表面活性剂。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储存条件：2-25°C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4.有效期：≥16个月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200ml/瓶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BB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AD321D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D76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AC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4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血气、电解质、代谢物定标液（定标液2）</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44E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6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1产品用途：配套ABL800FLEX血气分析仪，对PH值、钾离子（K+）、钠离子（Na+）钙离子（Ca+)、氯离子（Cl)、葡萄糖（Glu)、乳酸（Lac)定量检测项目检测时进行定标。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主要成分：PH(6.9)、K+(40mmol/L)、Na+(20mmol/L)Ca+(5mmol/L)、Cl（50mmol/L)、缓冲液（HEPES)、防腐剂（2-甲基-2异噻唑-3酮和二唑烷基脲），表面活性剂。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储存条件：2-25°C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4.有效期：≥24个月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200ml/瓶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13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0F8FF4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4C6C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32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C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带添加剂的清洁液</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C8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A8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1.产品用途：用于深度清洁ABL800分析仪中的测量系统。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2.主要成分：盐、缓冲液、抗凝剂、防腐剂、表面活性剂和酶。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3.上机效期：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175ml/瓶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5A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D22BB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EA88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28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76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一次性使用人体动脉血样采集器(956-613)</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AB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3F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1产品用途：配套ABL800FLEX血气分析仪自动进样，对PH值、钾离子（K+）、钠离子（Na+）钙离子（Ca+)、氯离子（Cl)、葡萄糖（Glu)、乳酸（Lac)定量检测项目检测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2.针径要求： ≤22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针长要求: ≤25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采样量要求：≤1.5ml，最低采样量≥0.7ml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5.抗凝剂要求：全阳离子平衡干肝素，不会稀释血液，不结合阳离子，保证离子结果精确无误；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排气功能要求：带有单向排气帽，排气过程不接触血液，减少接触血液风险，避免气溶胶传播，保护医护人员；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7混匀功能要求：配备有镀金混匀球，无需揉搓轻松即可完成混匀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8.保质期要求：≥12个月</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EE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C7915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3C53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9F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F2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一次性使用人体动脉血样采集器(956-616)</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FBE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6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1产品用途：配套ABL800FLEX血气分析仪自动进样，对PH值、钾离子（K+）、钠离子（Na+）钙离子（Ca+)、氯离子（Cl)、葡萄糖（Glu)、乳酸（Lac)定量检测项目检测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2.针径要求： ≤23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针长要求: ≤25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采样量要求：≤1.5ml，最低采样量≥0.7ml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5.抗凝剂要求：全阳离子平衡干肝素，不会稀释血液，不结合阳离子，保证离子结果精确无误；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排气功能要求：带有单向排气帽，排气过程不接触血液，减少接触血液风险，避免气溶胶传播，保护医护人员；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7混匀功能要求：配备有镀金混匀球，无需揉搓轻松即可完成混匀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8.保质期要求：≥12个月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9.防护功能要求：配360度防针刺保护套，操作简单，有效防止针刺伤避免血液外贱。</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87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3FE9AF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AE3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AE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65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六项细胞因子检测试剂盒（流式荧光发光法）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45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通过检测血清或血浆样本中白细胞介素-2（IL-2）、白细胞介素-4 (IL-4)、白细胞介素-6(IL-6)、白细胞介素-10(IL-10)、肿瘤坏死因子-α(TNF-α) 、干扰素-α(IFN-α) 和干扰素-γ(IFN-γ)共六项细胞因子的表达，为医师提供诊断的辅助信息。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58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 溯源至中国食品药品检定研究院标准270008,IL-6溯源至NIBSC，NIBSC  Code:89/548;其他指标溯源至企业标准。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BC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19989B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可与流式点阵发光分析仪iMatrix 100配套使用</w:t>
            </w:r>
          </w:p>
        </w:tc>
      </w:tr>
      <w:tr w14:paraId="40C2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F4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D1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八项细胞因子检测试剂盒（流式荧光发光法）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CF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通过检测血清或血浆样本中白细胞介素-1β（IL-1β）、白细胞介素-2（IL-2）、白细胞介素-4 (IL-4) 、白细胞介素-6(IL-6)、 白细胞介素-8(IL-8)、 白细胞介素-10(IL-10)、肿瘤坏死因子-α(TNF-α)  和干扰素-γ(IFN-γ) 共八项细胞因子的表达，为医师提供诊断的辅助信息。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C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 溯源至中国食品药品检定研究院标准270008,IL-6溯源至NIBSC, NIBSC  Code:89/548;其他指标溯源至企业标准。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04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00469FB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9C2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E9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10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十二项细胞因子测定试剂盒（流式荧光发光法）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B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通过检测血清或血浆样本中白细胞介素-1β（IL-1β）、白细胞介素-2（IL-2）、白细胞介素-4 (IL-4) 、白细胞 介素-5(IL-5)、 白细胞介素-6(IL-6)、 白细胞介素-8(IL-8)、 白细胞介素-10(IL-10)、白细胞介素-12p70(IL-12p70)、 白细胞介素-17(IL-17) 、肿瘤坏死因子-α(TNF-α) 、干扰素-α(IFN-α) 和干扰素-γ(IFN-γ) 共十二项细胞因子的表达，为医师提供诊断的辅助信息。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41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3.新批次试剂盒在初次使用前必须使用校准品对检测系统进行校准，无需每次校准，本试剂盒中校准曲线经量值传递具有溯源性。IL-2溯源至中国食品药品检定研究院标准270008,IL-6溯源至NIBSC, NIBSC Code: 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4.样本量为≤25μL；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48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550DAE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bl>
    <w:p w14:paraId="5D90FF38">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4517EFD8">
      <w:pPr>
        <w:pStyle w:val="13"/>
        <w:rPr>
          <w:rFonts w:hint="eastAsia" w:ascii="方正仿宋_GBK" w:hAnsi="宋体" w:eastAsia="方正仿宋_GBK"/>
          <w:sz w:val="24"/>
        </w:rPr>
      </w:pPr>
    </w:p>
    <w:p w14:paraId="5269E573">
      <w:pPr>
        <w:pStyle w:val="13"/>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16D25283">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31255"/>
      <w:bookmarkStart w:id="12" w:name="_Toc20473"/>
    </w:p>
    <w:p w14:paraId="19922D9B">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4CFAF52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67700D4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2FF07DE5">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3C8075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0DD0DB2">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p w14:paraId="0CC0A1A7">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bookmarkEnd w:id="11"/>
      <w:bookmarkEnd w:id="12"/>
    </w:p>
    <w:p w14:paraId="0437DC21">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451B440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32A17B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2DD90D66">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58EF5F64">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20D389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4A8277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2598AA2B">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188AF71">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035F48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58A105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C1736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11719FA5">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0CE2CE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4.医药价格和招采信用评级等级承诺书及佐证材料</w:t>
      </w:r>
    </w:p>
    <w:p w14:paraId="4A3F62A6">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D4D9312">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77082657"/>
      <w:bookmarkStart w:id="14" w:name="_Toc430530546"/>
      <w:bookmarkStart w:id="15" w:name="_Toc287620830"/>
      <w:bookmarkStart w:id="16" w:name="_Toc224103511"/>
      <w:bookmarkStart w:id="17" w:name="_Toc27983325"/>
      <w:bookmarkStart w:id="18" w:name="_Toc287607883"/>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CD5E0B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FCEC12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79D63A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445E2B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E2F163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295C05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F880EC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B6F04C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A8DB03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C47EFB">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C42E60D">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FC0086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0F88A21">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031359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FCB8D9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4A8B16">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E4505D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CA7490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BFCF76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477A7A3">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6E1B8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582883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E314D6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9204EA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539184C">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AF2778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E609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606382F">
      <w:pPr>
        <w:pStyle w:val="2"/>
        <w:pageBreakBefore w:val="0"/>
        <w:kinsoku/>
        <w:overflowPunct/>
        <w:bidi w:val="0"/>
        <w:spacing w:before="0" w:after="0" w:line="400" w:lineRule="exact"/>
        <w:textAlignment w:val="auto"/>
        <w:rPr>
          <w:rFonts w:hint="eastAsia"/>
          <w:color w:val="auto"/>
          <w:highlight w:val="none"/>
        </w:rPr>
      </w:pPr>
    </w:p>
    <w:p w14:paraId="686A15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4F3DAA6C">
      <w:pPr>
        <w:pageBreakBefore w:val="0"/>
        <w:kinsoku/>
        <w:overflowPunct/>
        <w:bidi w:val="0"/>
        <w:spacing w:line="400" w:lineRule="exact"/>
        <w:jc w:val="both"/>
        <w:textAlignment w:val="auto"/>
        <w:rPr>
          <w:rFonts w:hint="eastAsia" w:ascii="宋体" w:cs="宋体"/>
          <w:b/>
          <w:color w:val="auto"/>
          <w:sz w:val="28"/>
          <w:highlight w:val="none"/>
        </w:rPr>
      </w:pPr>
    </w:p>
    <w:p w14:paraId="4E98E2B9">
      <w:pPr>
        <w:pStyle w:val="2"/>
        <w:rPr>
          <w:rFonts w:hint="eastAsia"/>
        </w:rPr>
      </w:pPr>
    </w:p>
    <w:p w14:paraId="6E47FFE0">
      <w:pPr>
        <w:pageBreakBefore w:val="0"/>
        <w:kinsoku/>
        <w:overflowPunct/>
        <w:bidi w:val="0"/>
        <w:spacing w:line="400" w:lineRule="exact"/>
        <w:jc w:val="center"/>
        <w:textAlignment w:val="auto"/>
        <w:rPr>
          <w:rFonts w:hint="eastAsia" w:ascii="宋体" w:cs="宋体"/>
          <w:color w:val="auto"/>
          <w:sz w:val="28"/>
          <w:highlight w:val="none"/>
        </w:rPr>
      </w:pPr>
    </w:p>
    <w:p w14:paraId="435F8C3C">
      <w:pPr>
        <w:pageBreakBefore w:val="0"/>
        <w:kinsoku/>
        <w:overflowPunct/>
        <w:bidi w:val="0"/>
        <w:spacing w:line="400" w:lineRule="exact"/>
        <w:jc w:val="center"/>
        <w:textAlignment w:val="auto"/>
        <w:rPr>
          <w:rFonts w:hint="eastAsia" w:ascii="宋体" w:cs="宋体"/>
          <w:color w:val="auto"/>
          <w:sz w:val="28"/>
          <w:highlight w:val="none"/>
        </w:rPr>
      </w:pPr>
    </w:p>
    <w:p w14:paraId="2388683A">
      <w:pPr>
        <w:pageBreakBefore w:val="0"/>
        <w:kinsoku/>
        <w:overflowPunct/>
        <w:bidi w:val="0"/>
        <w:spacing w:line="400" w:lineRule="exact"/>
        <w:jc w:val="center"/>
        <w:textAlignment w:val="auto"/>
        <w:rPr>
          <w:rFonts w:hint="eastAsia" w:ascii="宋体" w:cs="宋体"/>
          <w:color w:val="auto"/>
          <w:sz w:val="28"/>
          <w:highlight w:val="none"/>
        </w:rPr>
      </w:pPr>
    </w:p>
    <w:p w14:paraId="7CE10E6E">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0CF2C264">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55EEBE51">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4A8D412">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3D0BD7C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竞选</w:t>
      </w:r>
      <w:r>
        <w:rPr>
          <w:rFonts w:hint="eastAsia" w:ascii="宋体" w:hAnsi="宋体" w:cs="宋体"/>
          <w:color w:val="auto"/>
          <w:sz w:val="24"/>
          <w:highlight w:val="none"/>
          <w:u w:val="single"/>
        </w:rPr>
        <w:t xml:space="preserve">人名称）              </w:t>
      </w:r>
      <w:r>
        <w:rPr>
          <w:rFonts w:hint="eastAsia" w:ascii="宋体" w:hAnsi="宋体" w:cs="宋体"/>
          <w:color w:val="auto"/>
          <w:sz w:val="24"/>
          <w:highlight w:val="none"/>
        </w:rPr>
        <w:t>的法定代表人。</w:t>
      </w:r>
    </w:p>
    <w:p w14:paraId="69A17BE3">
      <w:pPr>
        <w:tabs>
          <w:tab w:val="left" w:pos="6300"/>
        </w:tabs>
        <w:snapToGrid w:val="0"/>
        <w:spacing w:line="500" w:lineRule="exact"/>
        <w:ind w:firstLine="570"/>
        <w:rPr>
          <w:rFonts w:hint="eastAsia" w:ascii="宋体" w:hAnsi="宋体" w:cs="宋体"/>
          <w:color w:val="auto"/>
          <w:sz w:val="24"/>
          <w:highlight w:val="none"/>
        </w:rPr>
      </w:pPr>
    </w:p>
    <w:p w14:paraId="316B00FB">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2C136049">
      <w:pPr>
        <w:tabs>
          <w:tab w:val="left" w:pos="6300"/>
        </w:tabs>
        <w:snapToGrid w:val="0"/>
        <w:spacing w:line="500" w:lineRule="exact"/>
        <w:ind w:firstLine="570"/>
        <w:rPr>
          <w:rFonts w:hint="eastAsia" w:ascii="宋体" w:hAnsi="宋体" w:cs="宋体"/>
          <w:color w:val="auto"/>
          <w:sz w:val="24"/>
          <w:highlight w:val="none"/>
        </w:rPr>
      </w:pPr>
    </w:p>
    <w:p w14:paraId="74C76E57">
      <w:pPr>
        <w:tabs>
          <w:tab w:val="left" w:pos="6300"/>
        </w:tabs>
        <w:snapToGrid w:val="0"/>
        <w:spacing w:line="500" w:lineRule="exact"/>
        <w:ind w:firstLine="570"/>
        <w:rPr>
          <w:rFonts w:hint="eastAsia" w:ascii="宋体" w:hAnsi="宋体" w:cs="宋体"/>
          <w:color w:val="auto"/>
          <w:sz w:val="24"/>
          <w:highlight w:val="none"/>
        </w:rPr>
      </w:pPr>
    </w:p>
    <w:p w14:paraId="66F92EF9">
      <w:pPr>
        <w:tabs>
          <w:tab w:val="left" w:pos="6300"/>
        </w:tabs>
        <w:snapToGrid w:val="0"/>
        <w:spacing w:line="500" w:lineRule="exact"/>
        <w:ind w:firstLine="570"/>
        <w:rPr>
          <w:rFonts w:hint="eastAsia" w:ascii="宋体" w:hAnsi="宋体" w:cs="宋体"/>
          <w:color w:val="auto"/>
          <w:sz w:val="24"/>
          <w:highlight w:val="none"/>
        </w:rPr>
      </w:pPr>
    </w:p>
    <w:p w14:paraId="0F40A27E">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4FDCADCA">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55EBDEF">
      <w:pPr>
        <w:tabs>
          <w:tab w:val="left" w:pos="6300"/>
        </w:tabs>
        <w:snapToGrid w:val="0"/>
        <w:spacing w:line="500" w:lineRule="exact"/>
        <w:ind w:firstLine="570"/>
        <w:rPr>
          <w:rFonts w:hint="eastAsia" w:ascii="宋体" w:hAnsi="宋体" w:cs="宋体"/>
          <w:color w:val="auto"/>
          <w:sz w:val="24"/>
          <w:highlight w:val="none"/>
        </w:rPr>
      </w:pPr>
    </w:p>
    <w:p w14:paraId="5548F9C5">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F98409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46FA1F7F">
      <w:pPr>
        <w:tabs>
          <w:tab w:val="left" w:pos="6300"/>
        </w:tabs>
        <w:snapToGrid w:val="0"/>
        <w:spacing w:line="500" w:lineRule="exact"/>
        <w:ind w:firstLine="570"/>
        <w:rPr>
          <w:rFonts w:hint="eastAsia" w:ascii="宋体" w:hAnsi="宋体" w:cs="宋体"/>
          <w:color w:val="auto"/>
          <w:sz w:val="24"/>
          <w:highlight w:val="none"/>
        </w:rPr>
      </w:pPr>
    </w:p>
    <w:p w14:paraId="3838D71D">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0433C0C">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73DFFABC">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289E0613">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F8BA790">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2B5D5D23">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106736D2">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64E36ADA">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55DDB076">
      <w:pPr>
        <w:tabs>
          <w:tab w:val="left" w:pos="6300"/>
        </w:tabs>
        <w:snapToGrid w:val="0"/>
        <w:spacing w:line="500" w:lineRule="exact"/>
        <w:ind w:firstLine="570"/>
        <w:rPr>
          <w:rFonts w:hint="eastAsia" w:ascii="宋体" w:hAnsi="宋体" w:cs="宋体"/>
          <w:color w:val="auto"/>
          <w:sz w:val="24"/>
          <w:highlight w:val="none"/>
        </w:rPr>
      </w:pPr>
    </w:p>
    <w:p w14:paraId="0BF0280B">
      <w:pPr>
        <w:tabs>
          <w:tab w:val="left" w:pos="6300"/>
        </w:tabs>
        <w:snapToGrid w:val="0"/>
        <w:spacing w:line="500" w:lineRule="exact"/>
        <w:ind w:firstLine="570"/>
        <w:rPr>
          <w:rFonts w:hint="eastAsia" w:ascii="宋体" w:hAnsi="宋体" w:cs="宋体"/>
          <w:color w:val="auto"/>
          <w:sz w:val="24"/>
          <w:highlight w:val="none"/>
        </w:rPr>
      </w:pPr>
    </w:p>
    <w:p w14:paraId="2F48823A">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825A1E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4CBE6815">
      <w:pPr>
        <w:tabs>
          <w:tab w:val="left" w:pos="6300"/>
        </w:tabs>
        <w:snapToGrid w:val="0"/>
        <w:spacing w:line="500" w:lineRule="exact"/>
        <w:ind w:firstLine="570"/>
        <w:rPr>
          <w:rFonts w:hint="eastAsia" w:ascii="宋体" w:hAnsi="宋体" w:cs="宋体"/>
          <w:color w:val="auto"/>
          <w:sz w:val="24"/>
          <w:szCs w:val="28"/>
          <w:highlight w:val="none"/>
        </w:rPr>
      </w:pPr>
    </w:p>
    <w:p w14:paraId="4A76271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011CFDAD">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0A4EFB7">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261DE60">
      <w:pPr>
        <w:tabs>
          <w:tab w:val="left" w:pos="6300"/>
        </w:tabs>
        <w:snapToGrid w:val="0"/>
        <w:spacing w:line="500" w:lineRule="exact"/>
        <w:ind w:firstLine="570"/>
        <w:rPr>
          <w:rFonts w:hint="eastAsia" w:ascii="宋体" w:hAnsi="宋体" w:cs="宋体"/>
          <w:color w:val="auto"/>
          <w:sz w:val="24"/>
          <w:highlight w:val="none"/>
        </w:rPr>
      </w:pPr>
    </w:p>
    <w:p w14:paraId="279D96B8">
      <w:pPr>
        <w:tabs>
          <w:tab w:val="left" w:pos="6300"/>
        </w:tabs>
        <w:snapToGrid w:val="0"/>
        <w:spacing w:line="500" w:lineRule="exact"/>
        <w:ind w:firstLine="570"/>
        <w:rPr>
          <w:rFonts w:hint="eastAsia" w:ascii="宋体" w:hAnsi="宋体" w:cs="宋体"/>
          <w:color w:val="auto"/>
          <w:sz w:val="24"/>
          <w:highlight w:val="none"/>
        </w:rPr>
      </w:pPr>
    </w:p>
    <w:p w14:paraId="1DF25B0C">
      <w:pPr>
        <w:tabs>
          <w:tab w:val="left" w:pos="6300"/>
        </w:tabs>
        <w:snapToGrid w:val="0"/>
        <w:spacing w:line="500" w:lineRule="exact"/>
        <w:ind w:firstLine="570"/>
        <w:rPr>
          <w:rFonts w:hint="eastAsia" w:ascii="宋体" w:hAnsi="宋体" w:eastAsia="宋体" w:cs="宋体"/>
          <w:color w:val="auto"/>
          <w:sz w:val="24"/>
          <w:highlight w:val="none"/>
        </w:rPr>
      </w:pPr>
    </w:p>
    <w:p w14:paraId="5C80F832">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3BE08C9">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2AD0AE30">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05492195">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87E72D9">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AB3D487">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50606926">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3177DE27">
      <w:pPr>
        <w:autoSpaceDE w:val="0"/>
        <w:autoSpaceDN w:val="0"/>
        <w:adjustRightInd w:val="0"/>
        <w:spacing w:line="400" w:lineRule="exact"/>
        <w:ind w:firstLine="480" w:firstLineChars="200"/>
        <w:jc w:val="left"/>
        <w:rPr>
          <w:rFonts w:hint="eastAsia" w:ascii="宋体"/>
          <w:kern w:val="0"/>
          <w:sz w:val="24"/>
        </w:rPr>
      </w:pPr>
    </w:p>
    <w:p w14:paraId="0C8A7BFA">
      <w:pPr>
        <w:autoSpaceDE w:val="0"/>
        <w:autoSpaceDN w:val="0"/>
        <w:adjustRightInd w:val="0"/>
        <w:spacing w:line="400" w:lineRule="exact"/>
        <w:ind w:firstLine="480" w:firstLineChars="200"/>
        <w:jc w:val="left"/>
        <w:rPr>
          <w:rFonts w:hint="eastAsia" w:ascii="宋体"/>
          <w:kern w:val="0"/>
          <w:sz w:val="24"/>
        </w:rPr>
      </w:pPr>
    </w:p>
    <w:p w14:paraId="66F3762A">
      <w:pPr>
        <w:autoSpaceDE w:val="0"/>
        <w:autoSpaceDN w:val="0"/>
        <w:adjustRightInd w:val="0"/>
        <w:spacing w:line="400" w:lineRule="exact"/>
        <w:ind w:firstLine="480" w:firstLineChars="200"/>
        <w:jc w:val="left"/>
        <w:rPr>
          <w:rFonts w:hint="eastAsia" w:ascii="宋体"/>
          <w:kern w:val="0"/>
          <w:sz w:val="24"/>
        </w:rPr>
      </w:pPr>
    </w:p>
    <w:p w14:paraId="110AE378">
      <w:pPr>
        <w:autoSpaceDE w:val="0"/>
        <w:autoSpaceDN w:val="0"/>
        <w:adjustRightInd w:val="0"/>
        <w:spacing w:line="400" w:lineRule="exact"/>
        <w:ind w:firstLine="480" w:firstLineChars="200"/>
        <w:jc w:val="left"/>
        <w:rPr>
          <w:rFonts w:hint="eastAsia" w:ascii="宋体"/>
          <w:kern w:val="0"/>
          <w:sz w:val="24"/>
        </w:rPr>
      </w:pPr>
    </w:p>
    <w:p w14:paraId="09D81BBA">
      <w:pPr>
        <w:autoSpaceDE w:val="0"/>
        <w:autoSpaceDN w:val="0"/>
        <w:adjustRightInd w:val="0"/>
        <w:spacing w:line="400" w:lineRule="exact"/>
        <w:ind w:firstLine="480" w:firstLineChars="200"/>
        <w:jc w:val="left"/>
        <w:rPr>
          <w:rFonts w:hint="eastAsia" w:ascii="宋体"/>
          <w:kern w:val="0"/>
          <w:sz w:val="24"/>
        </w:rPr>
      </w:pPr>
    </w:p>
    <w:p w14:paraId="389BB556">
      <w:pPr>
        <w:autoSpaceDE w:val="0"/>
        <w:autoSpaceDN w:val="0"/>
        <w:adjustRightInd w:val="0"/>
        <w:spacing w:line="400" w:lineRule="exact"/>
        <w:ind w:firstLine="480" w:firstLineChars="200"/>
        <w:jc w:val="left"/>
        <w:rPr>
          <w:rFonts w:hint="eastAsia" w:ascii="宋体"/>
          <w:kern w:val="0"/>
          <w:sz w:val="24"/>
        </w:rPr>
      </w:pPr>
    </w:p>
    <w:p w14:paraId="38B1EB28">
      <w:pPr>
        <w:autoSpaceDE w:val="0"/>
        <w:autoSpaceDN w:val="0"/>
        <w:adjustRightInd w:val="0"/>
        <w:spacing w:line="400" w:lineRule="exact"/>
        <w:ind w:firstLine="480" w:firstLineChars="200"/>
        <w:jc w:val="left"/>
        <w:rPr>
          <w:rFonts w:hint="eastAsia" w:ascii="宋体"/>
          <w:kern w:val="0"/>
          <w:sz w:val="24"/>
        </w:rPr>
      </w:pPr>
    </w:p>
    <w:p w14:paraId="5C5E82EB">
      <w:pPr>
        <w:autoSpaceDE w:val="0"/>
        <w:autoSpaceDN w:val="0"/>
        <w:adjustRightInd w:val="0"/>
        <w:spacing w:line="400" w:lineRule="exact"/>
        <w:ind w:firstLine="480" w:firstLineChars="200"/>
        <w:jc w:val="left"/>
        <w:rPr>
          <w:rFonts w:hint="eastAsia" w:ascii="宋体"/>
          <w:kern w:val="0"/>
          <w:sz w:val="24"/>
        </w:rPr>
      </w:pPr>
    </w:p>
    <w:p w14:paraId="7A1D661F">
      <w:pPr>
        <w:autoSpaceDE w:val="0"/>
        <w:autoSpaceDN w:val="0"/>
        <w:adjustRightInd w:val="0"/>
        <w:spacing w:line="400" w:lineRule="exact"/>
        <w:ind w:firstLine="480" w:firstLineChars="200"/>
        <w:jc w:val="left"/>
        <w:rPr>
          <w:rFonts w:hint="eastAsia" w:ascii="宋体"/>
          <w:kern w:val="0"/>
          <w:sz w:val="24"/>
        </w:rPr>
      </w:pPr>
    </w:p>
    <w:p w14:paraId="6BB0DBFE">
      <w:pPr>
        <w:autoSpaceDE w:val="0"/>
        <w:autoSpaceDN w:val="0"/>
        <w:adjustRightInd w:val="0"/>
        <w:spacing w:line="400" w:lineRule="exact"/>
        <w:ind w:firstLine="480" w:firstLineChars="200"/>
        <w:jc w:val="left"/>
        <w:rPr>
          <w:rFonts w:hint="eastAsia" w:ascii="宋体"/>
          <w:kern w:val="0"/>
          <w:sz w:val="24"/>
        </w:rPr>
      </w:pPr>
    </w:p>
    <w:p w14:paraId="40570E02">
      <w:pPr>
        <w:autoSpaceDE w:val="0"/>
        <w:autoSpaceDN w:val="0"/>
        <w:adjustRightInd w:val="0"/>
        <w:spacing w:line="400" w:lineRule="exact"/>
        <w:ind w:firstLine="480" w:firstLineChars="200"/>
        <w:jc w:val="left"/>
        <w:rPr>
          <w:rFonts w:hint="eastAsia" w:ascii="宋体"/>
          <w:kern w:val="0"/>
          <w:sz w:val="24"/>
        </w:rPr>
      </w:pPr>
    </w:p>
    <w:p w14:paraId="67CD2E90">
      <w:pPr>
        <w:autoSpaceDE w:val="0"/>
        <w:autoSpaceDN w:val="0"/>
        <w:adjustRightInd w:val="0"/>
        <w:spacing w:line="400" w:lineRule="exact"/>
        <w:ind w:firstLine="480" w:firstLineChars="200"/>
        <w:jc w:val="left"/>
        <w:rPr>
          <w:rFonts w:hint="eastAsia" w:ascii="宋体"/>
          <w:kern w:val="0"/>
          <w:sz w:val="24"/>
        </w:rPr>
      </w:pPr>
    </w:p>
    <w:p w14:paraId="3763914E">
      <w:pPr>
        <w:autoSpaceDE w:val="0"/>
        <w:autoSpaceDN w:val="0"/>
        <w:adjustRightInd w:val="0"/>
        <w:spacing w:line="400" w:lineRule="exact"/>
        <w:ind w:firstLine="480" w:firstLineChars="200"/>
        <w:jc w:val="left"/>
        <w:rPr>
          <w:rFonts w:hint="eastAsia" w:ascii="宋体"/>
          <w:kern w:val="0"/>
          <w:sz w:val="24"/>
        </w:rPr>
      </w:pPr>
    </w:p>
    <w:p w14:paraId="19E5C81E">
      <w:pPr>
        <w:autoSpaceDE w:val="0"/>
        <w:autoSpaceDN w:val="0"/>
        <w:adjustRightInd w:val="0"/>
        <w:spacing w:line="400" w:lineRule="exact"/>
        <w:ind w:firstLine="480" w:firstLineChars="200"/>
        <w:jc w:val="left"/>
        <w:rPr>
          <w:rFonts w:hint="eastAsia" w:ascii="宋体"/>
          <w:kern w:val="0"/>
          <w:sz w:val="24"/>
        </w:rPr>
      </w:pPr>
    </w:p>
    <w:p w14:paraId="033CD306">
      <w:pPr>
        <w:autoSpaceDE w:val="0"/>
        <w:autoSpaceDN w:val="0"/>
        <w:adjustRightInd w:val="0"/>
        <w:spacing w:line="400" w:lineRule="exact"/>
        <w:ind w:firstLine="480" w:firstLineChars="200"/>
        <w:jc w:val="left"/>
        <w:rPr>
          <w:rFonts w:hint="eastAsia" w:ascii="宋体"/>
          <w:kern w:val="0"/>
          <w:sz w:val="24"/>
        </w:rPr>
      </w:pPr>
    </w:p>
    <w:p w14:paraId="19CBFF3A">
      <w:pPr>
        <w:autoSpaceDE w:val="0"/>
        <w:autoSpaceDN w:val="0"/>
        <w:adjustRightInd w:val="0"/>
        <w:spacing w:line="400" w:lineRule="exact"/>
        <w:ind w:firstLine="480" w:firstLineChars="200"/>
        <w:jc w:val="left"/>
        <w:rPr>
          <w:rFonts w:hint="eastAsia" w:ascii="宋体"/>
          <w:kern w:val="0"/>
          <w:sz w:val="24"/>
        </w:rPr>
      </w:pPr>
    </w:p>
    <w:p w14:paraId="723FDD0D">
      <w:pPr>
        <w:autoSpaceDE w:val="0"/>
        <w:autoSpaceDN w:val="0"/>
        <w:adjustRightInd w:val="0"/>
        <w:spacing w:line="400" w:lineRule="exact"/>
        <w:ind w:firstLine="480" w:firstLineChars="200"/>
        <w:jc w:val="left"/>
        <w:rPr>
          <w:rFonts w:hint="eastAsia" w:ascii="宋体"/>
          <w:kern w:val="0"/>
          <w:sz w:val="24"/>
        </w:rPr>
      </w:pPr>
    </w:p>
    <w:p w14:paraId="59961247">
      <w:pPr>
        <w:autoSpaceDE w:val="0"/>
        <w:autoSpaceDN w:val="0"/>
        <w:adjustRightInd w:val="0"/>
        <w:spacing w:line="400" w:lineRule="exact"/>
        <w:ind w:firstLine="480" w:firstLineChars="200"/>
        <w:jc w:val="left"/>
        <w:rPr>
          <w:rFonts w:hint="eastAsia" w:ascii="宋体"/>
          <w:kern w:val="0"/>
          <w:sz w:val="24"/>
        </w:rPr>
      </w:pPr>
    </w:p>
    <w:p w14:paraId="28EBC505">
      <w:pPr>
        <w:autoSpaceDE w:val="0"/>
        <w:autoSpaceDN w:val="0"/>
        <w:adjustRightInd w:val="0"/>
        <w:spacing w:line="400" w:lineRule="exact"/>
        <w:ind w:firstLine="480" w:firstLineChars="200"/>
        <w:jc w:val="left"/>
        <w:rPr>
          <w:rFonts w:hint="eastAsia" w:ascii="宋体"/>
          <w:kern w:val="0"/>
          <w:sz w:val="24"/>
        </w:rPr>
      </w:pPr>
    </w:p>
    <w:p w14:paraId="7063BD37">
      <w:pPr>
        <w:autoSpaceDE w:val="0"/>
        <w:autoSpaceDN w:val="0"/>
        <w:adjustRightInd w:val="0"/>
        <w:spacing w:line="400" w:lineRule="exact"/>
        <w:ind w:firstLine="480" w:firstLineChars="200"/>
        <w:jc w:val="left"/>
        <w:rPr>
          <w:rFonts w:hint="eastAsia" w:ascii="宋体"/>
          <w:kern w:val="0"/>
          <w:sz w:val="24"/>
        </w:rPr>
      </w:pPr>
    </w:p>
    <w:p w14:paraId="1327D456">
      <w:pPr>
        <w:autoSpaceDE w:val="0"/>
        <w:autoSpaceDN w:val="0"/>
        <w:adjustRightInd w:val="0"/>
        <w:spacing w:line="400" w:lineRule="exact"/>
        <w:ind w:firstLine="480" w:firstLineChars="200"/>
        <w:jc w:val="left"/>
        <w:rPr>
          <w:rFonts w:hint="eastAsia" w:ascii="宋体"/>
          <w:kern w:val="0"/>
          <w:sz w:val="24"/>
        </w:rPr>
      </w:pPr>
    </w:p>
    <w:p w14:paraId="215E0193">
      <w:pPr>
        <w:autoSpaceDE w:val="0"/>
        <w:autoSpaceDN w:val="0"/>
        <w:adjustRightInd w:val="0"/>
        <w:spacing w:line="400" w:lineRule="exact"/>
        <w:ind w:firstLine="480" w:firstLineChars="200"/>
        <w:jc w:val="left"/>
        <w:rPr>
          <w:rFonts w:hint="eastAsia" w:ascii="宋体"/>
          <w:kern w:val="0"/>
          <w:sz w:val="24"/>
        </w:rPr>
      </w:pPr>
    </w:p>
    <w:p w14:paraId="6D235EE2">
      <w:pPr>
        <w:autoSpaceDE w:val="0"/>
        <w:autoSpaceDN w:val="0"/>
        <w:adjustRightInd w:val="0"/>
        <w:spacing w:line="400" w:lineRule="exact"/>
        <w:ind w:firstLine="480" w:firstLineChars="200"/>
        <w:jc w:val="left"/>
        <w:rPr>
          <w:rFonts w:hint="eastAsia" w:ascii="宋体"/>
          <w:kern w:val="0"/>
          <w:sz w:val="24"/>
        </w:rPr>
      </w:pPr>
    </w:p>
    <w:p w14:paraId="64581090">
      <w:pPr>
        <w:autoSpaceDE w:val="0"/>
        <w:autoSpaceDN w:val="0"/>
        <w:adjustRightInd w:val="0"/>
        <w:spacing w:line="400" w:lineRule="exact"/>
        <w:ind w:firstLine="480" w:firstLineChars="200"/>
        <w:jc w:val="left"/>
        <w:rPr>
          <w:rFonts w:hint="eastAsia" w:ascii="宋体"/>
          <w:kern w:val="0"/>
          <w:sz w:val="24"/>
        </w:rPr>
      </w:pPr>
    </w:p>
    <w:p w14:paraId="6FA42A7D">
      <w:pPr>
        <w:autoSpaceDE w:val="0"/>
        <w:autoSpaceDN w:val="0"/>
        <w:adjustRightInd w:val="0"/>
        <w:spacing w:line="400" w:lineRule="exact"/>
        <w:ind w:firstLine="480" w:firstLineChars="200"/>
        <w:jc w:val="left"/>
        <w:rPr>
          <w:rFonts w:hint="eastAsia" w:ascii="宋体"/>
          <w:kern w:val="0"/>
          <w:sz w:val="24"/>
        </w:rPr>
      </w:pPr>
    </w:p>
    <w:p w14:paraId="3D0BF6FF">
      <w:pPr>
        <w:autoSpaceDE w:val="0"/>
        <w:autoSpaceDN w:val="0"/>
        <w:adjustRightInd w:val="0"/>
        <w:spacing w:line="400" w:lineRule="exact"/>
        <w:ind w:firstLine="480" w:firstLineChars="200"/>
        <w:jc w:val="left"/>
        <w:rPr>
          <w:rFonts w:hint="eastAsia" w:ascii="宋体"/>
          <w:kern w:val="0"/>
          <w:sz w:val="24"/>
        </w:rPr>
      </w:pPr>
    </w:p>
    <w:p w14:paraId="7A789DC5">
      <w:pPr>
        <w:autoSpaceDE w:val="0"/>
        <w:autoSpaceDN w:val="0"/>
        <w:adjustRightInd w:val="0"/>
        <w:spacing w:line="400" w:lineRule="exact"/>
        <w:ind w:firstLine="480" w:firstLineChars="200"/>
        <w:jc w:val="left"/>
        <w:rPr>
          <w:rFonts w:hint="eastAsia" w:ascii="宋体"/>
          <w:kern w:val="0"/>
          <w:sz w:val="24"/>
        </w:rPr>
      </w:pPr>
    </w:p>
    <w:p w14:paraId="32297BA6">
      <w:pPr>
        <w:autoSpaceDE w:val="0"/>
        <w:autoSpaceDN w:val="0"/>
        <w:adjustRightInd w:val="0"/>
        <w:spacing w:line="400" w:lineRule="exact"/>
        <w:ind w:firstLine="480" w:firstLineChars="200"/>
        <w:jc w:val="left"/>
        <w:rPr>
          <w:rFonts w:hint="eastAsia" w:ascii="宋体"/>
          <w:kern w:val="0"/>
          <w:sz w:val="24"/>
        </w:rPr>
      </w:pPr>
    </w:p>
    <w:p w14:paraId="08A2B0F5">
      <w:pPr>
        <w:autoSpaceDE w:val="0"/>
        <w:autoSpaceDN w:val="0"/>
        <w:adjustRightInd w:val="0"/>
        <w:spacing w:line="400" w:lineRule="exact"/>
        <w:ind w:firstLine="480" w:firstLineChars="200"/>
        <w:jc w:val="left"/>
        <w:rPr>
          <w:rFonts w:hint="eastAsia" w:ascii="宋体"/>
          <w:kern w:val="0"/>
          <w:sz w:val="24"/>
        </w:rPr>
      </w:pPr>
    </w:p>
    <w:p w14:paraId="589F4262">
      <w:pPr>
        <w:autoSpaceDE w:val="0"/>
        <w:autoSpaceDN w:val="0"/>
        <w:adjustRightInd w:val="0"/>
        <w:spacing w:line="400" w:lineRule="exact"/>
        <w:ind w:firstLine="480" w:firstLineChars="200"/>
        <w:jc w:val="left"/>
        <w:rPr>
          <w:rFonts w:hint="eastAsia" w:ascii="宋体"/>
          <w:kern w:val="0"/>
          <w:sz w:val="24"/>
        </w:rPr>
      </w:pPr>
    </w:p>
    <w:p w14:paraId="4AA7B1A0">
      <w:pPr>
        <w:autoSpaceDE w:val="0"/>
        <w:autoSpaceDN w:val="0"/>
        <w:adjustRightInd w:val="0"/>
        <w:spacing w:line="400" w:lineRule="exact"/>
        <w:ind w:firstLine="480" w:firstLineChars="200"/>
        <w:jc w:val="left"/>
        <w:rPr>
          <w:rFonts w:hint="eastAsia" w:ascii="宋体"/>
          <w:kern w:val="0"/>
          <w:sz w:val="24"/>
        </w:rPr>
      </w:pPr>
    </w:p>
    <w:p w14:paraId="33BE7568">
      <w:pPr>
        <w:autoSpaceDE w:val="0"/>
        <w:autoSpaceDN w:val="0"/>
        <w:adjustRightInd w:val="0"/>
        <w:spacing w:line="400" w:lineRule="exact"/>
        <w:ind w:firstLine="480" w:firstLineChars="200"/>
        <w:jc w:val="left"/>
        <w:rPr>
          <w:rFonts w:hint="eastAsia" w:ascii="宋体"/>
          <w:kern w:val="0"/>
          <w:sz w:val="24"/>
        </w:rPr>
      </w:pPr>
    </w:p>
    <w:p w14:paraId="62F66714">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1F0294C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9EA29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7837C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76122A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C31AD8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3C873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D31526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D2D3A7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E8D2C1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F7D58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7B5E9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2E6E65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5781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47682D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1AEE74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D7D1B4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3FD05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C8CB77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3135D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9E46FF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A380DC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EA703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287D7B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7F9405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05EC43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D126F2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860843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55DD93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B2C7F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46EDB9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F11FC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F8C268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221B8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944BA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729BFA00">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33236372">
      <w:pPr>
        <w:pStyle w:val="2"/>
        <w:pageBreakBefore w:val="0"/>
        <w:kinsoku/>
        <w:overflowPunct/>
        <w:bidi w:val="0"/>
        <w:spacing w:before="0" w:after="0" w:line="400" w:lineRule="exact"/>
        <w:textAlignment w:val="auto"/>
        <w:rPr>
          <w:color w:val="auto"/>
          <w:sz w:val="24"/>
          <w:highlight w:val="none"/>
        </w:rPr>
      </w:pPr>
    </w:p>
    <w:p w14:paraId="6322CC2F">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5EDE6C85">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9F86921">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1E9D0FD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7068D914">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6085402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3C5CC6C">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445C3A8A">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4C97FEAE">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26BD7CD">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1F061CB5">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048B04DA">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CFA817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72D805DB">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154E995">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522E28DE">
      <w:pPr>
        <w:pageBreakBefore w:val="0"/>
        <w:kinsoku/>
        <w:overflowPunct/>
        <w:bidi w:val="0"/>
        <w:spacing w:line="400" w:lineRule="exact"/>
        <w:textAlignment w:val="auto"/>
        <w:rPr>
          <w:rFonts w:hint="default"/>
          <w:color w:val="auto"/>
          <w:highlight w:val="none"/>
          <w:lang w:val="en-US" w:eastAsia="zh-CN"/>
        </w:rPr>
      </w:pPr>
    </w:p>
    <w:p w14:paraId="6F4703CC">
      <w:pPr>
        <w:pStyle w:val="2"/>
        <w:pageBreakBefore w:val="0"/>
        <w:kinsoku/>
        <w:overflowPunct/>
        <w:bidi w:val="0"/>
        <w:spacing w:before="0" w:after="0" w:line="400" w:lineRule="exact"/>
        <w:textAlignment w:val="auto"/>
        <w:rPr>
          <w:rFonts w:hint="default"/>
          <w:color w:val="auto"/>
          <w:highlight w:val="none"/>
          <w:lang w:val="en-US" w:eastAsia="zh-CN"/>
        </w:rPr>
      </w:pPr>
    </w:p>
    <w:p w14:paraId="7987EEA3">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4539DD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EE1D31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3610BE75">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4126265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704C2E66">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56855A5C">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0545D2DF">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13BC728">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78A548D4">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629E2A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84B47C0">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1474343">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341ECA0B">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663C52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BD26A0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219B0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D4FDCA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4F820C">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1BE0129">
      <w:pPr>
        <w:pStyle w:val="13"/>
        <w:pageBreakBefore w:val="0"/>
        <w:kinsoku/>
        <w:overflowPunct/>
        <w:bidi w:val="0"/>
        <w:spacing w:after="0" w:line="400" w:lineRule="exact"/>
        <w:textAlignment w:val="auto"/>
        <w:rPr>
          <w:rFonts w:hint="eastAsia"/>
          <w:color w:val="auto"/>
          <w:highlight w:val="none"/>
        </w:rPr>
      </w:pPr>
    </w:p>
    <w:p w14:paraId="4C8B999B">
      <w:pPr>
        <w:pStyle w:val="13"/>
        <w:pageBreakBefore w:val="0"/>
        <w:kinsoku/>
        <w:overflowPunct/>
        <w:bidi w:val="0"/>
        <w:spacing w:after="0" w:line="400" w:lineRule="exact"/>
        <w:textAlignment w:val="auto"/>
        <w:rPr>
          <w:rFonts w:hint="eastAsia"/>
          <w:color w:val="auto"/>
          <w:highlight w:val="none"/>
        </w:rPr>
      </w:pPr>
    </w:p>
    <w:p w14:paraId="5A42105C">
      <w:pPr>
        <w:pStyle w:val="13"/>
        <w:pageBreakBefore w:val="0"/>
        <w:kinsoku/>
        <w:overflowPunct/>
        <w:bidi w:val="0"/>
        <w:spacing w:after="0" w:line="400" w:lineRule="exact"/>
        <w:textAlignment w:val="auto"/>
        <w:rPr>
          <w:rFonts w:hint="eastAsia"/>
          <w:color w:val="auto"/>
          <w:highlight w:val="none"/>
        </w:rPr>
      </w:pPr>
    </w:p>
    <w:p w14:paraId="6BDB36A5">
      <w:pPr>
        <w:pStyle w:val="13"/>
        <w:pageBreakBefore w:val="0"/>
        <w:kinsoku/>
        <w:overflowPunct/>
        <w:bidi w:val="0"/>
        <w:spacing w:after="0" w:line="400" w:lineRule="exact"/>
        <w:textAlignment w:val="auto"/>
        <w:rPr>
          <w:rFonts w:hint="eastAsia"/>
          <w:color w:val="auto"/>
          <w:highlight w:val="none"/>
        </w:rPr>
      </w:pPr>
    </w:p>
    <w:p w14:paraId="396378C6">
      <w:pPr>
        <w:pStyle w:val="13"/>
        <w:pageBreakBefore w:val="0"/>
        <w:kinsoku/>
        <w:overflowPunct/>
        <w:bidi w:val="0"/>
        <w:spacing w:after="0" w:line="400" w:lineRule="exact"/>
        <w:textAlignment w:val="auto"/>
        <w:rPr>
          <w:rFonts w:hint="eastAsia"/>
          <w:color w:val="auto"/>
          <w:highlight w:val="none"/>
        </w:rPr>
      </w:pPr>
    </w:p>
    <w:p w14:paraId="771CC687">
      <w:pPr>
        <w:pStyle w:val="13"/>
        <w:pageBreakBefore w:val="0"/>
        <w:kinsoku/>
        <w:overflowPunct/>
        <w:bidi w:val="0"/>
        <w:spacing w:after="0" w:line="400" w:lineRule="exact"/>
        <w:textAlignment w:val="auto"/>
        <w:rPr>
          <w:rFonts w:hint="eastAsia"/>
          <w:color w:val="auto"/>
          <w:highlight w:val="none"/>
        </w:rPr>
      </w:pPr>
    </w:p>
    <w:p w14:paraId="04CF2842">
      <w:pPr>
        <w:pStyle w:val="13"/>
        <w:pageBreakBefore w:val="0"/>
        <w:kinsoku/>
        <w:overflowPunct/>
        <w:bidi w:val="0"/>
        <w:spacing w:after="0" w:line="400" w:lineRule="exact"/>
        <w:textAlignment w:val="auto"/>
        <w:rPr>
          <w:rFonts w:hint="eastAsia"/>
          <w:color w:val="auto"/>
          <w:highlight w:val="none"/>
        </w:rPr>
      </w:pPr>
    </w:p>
    <w:p w14:paraId="2DCEE1BD">
      <w:pPr>
        <w:pStyle w:val="13"/>
        <w:pageBreakBefore w:val="0"/>
        <w:kinsoku/>
        <w:overflowPunct/>
        <w:bidi w:val="0"/>
        <w:spacing w:after="0" w:line="400" w:lineRule="exact"/>
        <w:textAlignment w:val="auto"/>
        <w:rPr>
          <w:rFonts w:hint="eastAsia"/>
          <w:color w:val="auto"/>
          <w:highlight w:val="none"/>
        </w:rPr>
      </w:pPr>
    </w:p>
    <w:p w14:paraId="2AC24CC3">
      <w:pPr>
        <w:pStyle w:val="13"/>
        <w:pageBreakBefore w:val="0"/>
        <w:kinsoku/>
        <w:overflowPunct/>
        <w:bidi w:val="0"/>
        <w:spacing w:after="0" w:line="400" w:lineRule="exact"/>
        <w:textAlignment w:val="auto"/>
        <w:rPr>
          <w:rFonts w:hint="eastAsia"/>
          <w:color w:val="auto"/>
          <w:highlight w:val="none"/>
        </w:rPr>
      </w:pPr>
    </w:p>
    <w:p w14:paraId="1C410A10">
      <w:pPr>
        <w:pStyle w:val="13"/>
        <w:pageBreakBefore w:val="0"/>
        <w:kinsoku/>
        <w:overflowPunct/>
        <w:bidi w:val="0"/>
        <w:spacing w:after="0" w:line="400" w:lineRule="exact"/>
        <w:textAlignment w:val="auto"/>
        <w:rPr>
          <w:rFonts w:hint="eastAsia"/>
          <w:color w:val="auto"/>
          <w:highlight w:val="none"/>
        </w:rPr>
      </w:pPr>
    </w:p>
    <w:p w14:paraId="754678C8">
      <w:pPr>
        <w:pStyle w:val="13"/>
        <w:pageBreakBefore w:val="0"/>
        <w:kinsoku/>
        <w:overflowPunct/>
        <w:bidi w:val="0"/>
        <w:spacing w:after="0" w:line="400" w:lineRule="exact"/>
        <w:textAlignment w:val="auto"/>
        <w:rPr>
          <w:rFonts w:hint="eastAsia"/>
          <w:color w:val="auto"/>
          <w:highlight w:val="none"/>
        </w:rPr>
      </w:pPr>
    </w:p>
    <w:p w14:paraId="33445F78">
      <w:pPr>
        <w:pStyle w:val="13"/>
        <w:pageBreakBefore w:val="0"/>
        <w:kinsoku/>
        <w:overflowPunct/>
        <w:bidi w:val="0"/>
        <w:spacing w:after="0" w:line="400" w:lineRule="exact"/>
        <w:textAlignment w:val="auto"/>
        <w:rPr>
          <w:rFonts w:hint="eastAsia"/>
          <w:color w:val="auto"/>
          <w:highlight w:val="none"/>
        </w:rPr>
      </w:pPr>
    </w:p>
    <w:p w14:paraId="168DC483">
      <w:pPr>
        <w:jc w:val="center"/>
        <w:rPr>
          <w:rFonts w:hint="eastAsia" w:ascii="宋体" w:hAnsi="Times New Roman" w:eastAsia="宋体" w:cs="宋体"/>
          <w:color w:val="auto"/>
          <w:sz w:val="36"/>
          <w:szCs w:val="36"/>
          <w:highlight w:val="none"/>
          <w:lang w:val="en-US" w:eastAsia="zh-CN"/>
        </w:rPr>
      </w:pPr>
    </w:p>
    <w:p w14:paraId="1378993A">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2AB34E78">
      <w:pPr>
        <w:spacing w:line="360" w:lineRule="auto"/>
        <w:rPr>
          <w:rFonts w:hint="eastAsia"/>
          <w:sz w:val="28"/>
          <w:lang w:val="en-US" w:eastAsia="zh-CN"/>
        </w:rPr>
      </w:pPr>
    </w:p>
    <w:p w14:paraId="516C5FC4">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EE84F50">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F815F4F">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054AB5D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4E97073E">
      <w:pPr>
        <w:spacing w:before="156" w:beforeLines="50" w:line="360" w:lineRule="auto"/>
        <w:ind w:firstLine="560" w:firstLineChars="200"/>
        <w:rPr>
          <w:sz w:val="28"/>
        </w:rPr>
      </w:pPr>
    </w:p>
    <w:p w14:paraId="3D3BC9A2">
      <w:pPr>
        <w:spacing w:before="156" w:beforeLines="50" w:line="360" w:lineRule="auto"/>
        <w:ind w:firstLine="560" w:firstLineChars="200"/>
        <w:rPr>
          <w:sz w:val="28"/>
        </w:rPr>
      </w:pPr>
    </w:p>
    <w:p w14:paraId="43E74060">
      <w:pPr>
        <w:spacing w:before="156" w:beforeLines="50" w:line="360" w:lineRule="auto"/>
        <w:ind w:firstLine="560" w:firstLineChars="200"/>
        <w:rPr>
          <w:sz w:val="28"/>
        </w:rPr>
      </w:pPr>
    </w:p>
    <w:p w14:paraId="7B83B95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02DCB5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00909AC">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5AFA32C">
      <w:pPr>
        <w:pStyle w:val="8"/>
        <w:numPr>
          <w:ilvl w:val="0"/>
          <w:numId w:val="0"/>
        </w:numPr>
        <w:spacing w:line="440" w:lineRule="exact"/>
        <w:rPr>
          <w:rFonts w:hint="default" w:ascii="方正仿宋_GBK" w:hAnsi="宋体" w:eastAsia="方正仿宋_GBK"/>
          <w:sz w:val="24"/>
          <w:lang w:val="en-US" w:eastAsia="zh-CN"/>
        </w:rPr>
      </w:pPr>
    </w:p>
    <w:p w14:paraId="6A6B973E">
      <w:pPr>
        <w:pStyle w:val="8"/>
        <w:numPr>
          <w:ilvl w:val="0"/>
          <w:numId w:val="0"/>
        </w:numPr>
        <w:spacing w:line="440" w:lineRule="exact"/>
        <w:rPr>
          <w:rFonts w:hint="default" w:ascii="方正仿宋_GBK" w:hAnsi="宋体" w:eastAsia="方正仿宋_GBK"/>
          <w:sz w:val="24"/>
          <w:lang w:val="en-US" w:eastAsia="zh-CN"/>
        </w:rPr>
      </w:pPr>
    </w:p>
    <w:p w14:paraId="2A7253DB">
      <w:pPr>
        <w:pStyle w:val="8"/>
        <w:numPr>
          <w:ilvl w:val="0"/>
          <w:numId w:val="0"/>
        </w:numPr>
        <w:spacing w:line="440" w:lineRule="exact"/>
        <w:rPr>
          <w:rFonts w:hint="default" w:ascii="方正仿宋_GBK" w:hAnsi="宋体" w:eastAsia="方正仿宋_GBK"/>
          <w:sz w:val="24"/>
          <w:lang w:val="en-US" w:eastAsia="zh-CN"/>
        </w:rPr>
      </w:pPr>
    </w:p>
    <w:p w14:paraId="1BDA38D7">
      <w:pPr>
        <w:pStyle w:val="8"/>
        <w:numPr>
          <w:ilvl w:val="0"/>
          <w:numId w:val="0"/>
        </w:numPr>
        <w:spacing w:line="440" w:lineRule="exact"/>
        <w:rPr>
          <w:rFonts w:hint="default" w:ascii="方正仿宋_GBK" w:hAnsi="宋体" w:eastAsia="方正仿宋_GBK"/>
          <w:sz w:val="24"/>
          <w:lang w:val="en-US" w:eastAsia="zh-CN"/>
        </w:rPr>
      </w:pPr>
    </w:p>
    <w:p w14:paraId="569DA155">
      <w:pPr>
        <w:pStyle w:val="8"/>
        <w:numPr>
          <w:ilvl w:val="0"/>
          <w:numId w:val="0"/>
        </w:numPr>
        <w:spacing w:line="440" w:lineRule="exact"/>
        <w:rPr>
          <w:rFonts w:hint="default" w:ascii="方正仿宋_GBK" w:hAnsi="宋体" w:eastAsia="方正仿宋_GBK"/>
          <w:sz w:val="24"/>
          <w:lang w:val="en-US" w:eastAsia="zh-CN"/>
        </w:rPr>
      </w:pPr>
    </w:p>
    <w:p w14:paraId="10C39E4B">
      <w:pPr>
        <w:pStyle w:val="8"/>
        <w:numPr>
          <w:ilvl w:val="0"/>
          <w:numId w:val="0"/>
        </w:numPr>
        <w:spacing w:line="440" w:lineRule="exact"/>
        <w:rPr>
          <w:rFonts w:hint="default" w:ascii="方正仿宋_GBK" w:hAnsi="宋体" w:eastAsia="方正仿宋_GBK"/>
          <w:sz w:val="24"/>
          <w:lang w:val="en-US" w:eastAsia="zh-CN"/>
        </w:rPr>
      </w:pPr>
    </w:p>
    <w:p w14:paraId="7317A822">
      <w:pPr>
        <w:pStyle w:val="8"/>
        <w:numPr>
          <w:ilvl w:val="0"/>
          <w:numId w:val="0"/>
        </w:numPr>
        <w:spacing w:line="440" w:lineRule="exact"/>
        <w:rPr>
          <w:rFonts w:hint="default" w:ascii="方正仿宋_GBK" w:hAnsi="宋体" w:eastAsia="方正仿宋_GBK"/>
          <w:sz w:val="24"/>
          <w:lang w:val="en-US" w:eastAsia="zh-CN"/>
        </w:rPr>
      </w:pPr>
    </w:p>
    <w:p w14:paraId="6F37B213">
      <w:pPr>
        <w:jc w:val="center"/>
        <w:rPr>
          <w:rFonts w:hint="eastAsia" w:ascii="宋体" w:hAnsi="Times New Roman" w:eastAsia="宋体" w:cs="宋体"/>
          <w:color w:val="auto"/>
          <w:sz w:val="36"/>
          <w:szCs w:val="36"/>
          <w:highlight w:val="none"/>
          <w:lang w:val="en-US" w:eastAsia="zh-CN"/>
        </w:rPr>
      </w:pPr>
    </w:p>
    <w:p w14:paraId="0DCFD3FD">
      <w:pPr>
        <w:jc w:val="center"/>
        <w:rPr>
          <w:rFonts w:hint="eastAsia" w:ascii="宋体" w:hAnsi="Times New Roman" w:eastAsia="宋体" w:cs="宋体"/>
          <w:color w:val="auto"/>
          <w:sz w:val="36"/>
          <w:szCs w:val="36"/>
          <w:highlight w:val="none"/>
          <w:lang w:val="en-US" w:eastAsia="zh-CN"/>
        </w:rPr>
      </w:pPr>
    </w:p>
    <w:p w14:paraId="24AA2D00">
      <w:pPr>
        <w:jc w:val="center"/>
        <w:rPr>
          <w:rFonts w:hint="eastAsia" w:ascii="宋体" w:hAnsi="Times New Roman" w:eastAsia="宋体" w:cs="宋体"/>
          <w:color w:val="auto"/>
          <w:sz w:val="36"/>
          <w:szCs w:val="36"/>
          <w:highlight w:val="none"/>
          <w:lang w:val="en-US" w:eastAsia="zh-CN"/>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pageBreakBefore w:val="0"/>
        <w:kinsoku/>
        <w:overflowPunct/>
        <w:bidi w:val="0"/>
        <w:spacing w:line="400" w:lineRule="exact"/>
        <w:textAlignment w:val="auto"/>
        <w:rPr>
          <w:rFonts w:hint="eastAsia" w:ascii="仿宋" w:hAnsi="仿宋" w:eastAsia="仿宋" w:cs="仿宋"/>
          <w:color w:val="auto"/>
          <w:sz w:val="24"/>
          <w:szCs w:val="24"/>
        </w:rPr>
      </w:pPr>
      <w:r>
        <w:rPr>
          <w:rFonts w:hint="eastAsia" w:ascii="宋体" w:hAnsi="宋体" w:eastAsia="宋体" w:cs="宋体"/>
          <w:color w:val="auto"/>
          <w:sz w:val="24"/>
          <w:szCs w:val="24"/>
          <w:highlight w:val="none"/>
          <w:u w:val="none"/>
          <w:lang w:val="en-US" w:eastAsia="zh-CN"/>
        </w:rPr>
        <w:t>致</w:t>
      </w:r>
      <w:r>
        <w:rPr>
          <w:rFonts w:hint="eastAsia"/>
          <w:sz w:val="24"/>
          <w:szCs w:val="24"/>
          <w:u w:val="none"/>
          <w:lang w:val="en-US" w:eastAsia="zh-CN"/>
        </w:rPr>
        <w:t>哈尔滨医科大学附属第二医院</w:t>
      </w:r>
      <w:r>
        <w:rPr>
          <w:rFonts w:hint="eastAsia" w:ascii="宋体" w:hAnsi="宋体" w:eastAsia="宋体" w:cs="宋体"/>
          <w:color w:val="auto"/>
          <w:sz w:val="24"/>
          <w:szCs w:val="24"/>
          <w:highlight w:val="none"/>
          <w:u w:val="none"/>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580F385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864EDB"/>
    <w:rsid w:val="05CA3EB9"/>
    <w:rsid w:val="05E64275"/>
    <w:rsid w:val="05E93B08"/>
    <w:rsid w:val="05EA3021"/>
    <w:rsid w:val="05FC6962"/>
    <w:rsid w:val="063F1D9A"/>
    <w:rsid w:val="066F334E"/>
    <w:rsid w:val="06A76489"/>
    <w:rsid w:val="06C5271C"/>
    <w:rsid w:val="06F936A9"/>
    <w:rsid w:val="074367EF"/>
    <w:rsid w:val="074B0738"/>
    <w:rsid w:val="07773404"/>
    <w:rsid w:val="07D03170"/>
    <w:rsid w:val="08AE1E9F"/>
    <w:rsid w:val="09071EDD"/>
    <w:rsid w:val="09335449"/>
    <w:rsid w:val="0979739A"/>
    <w:rsid w:val="09AA6E8C"/>
    <w:rsid w:val="0A911D28"/>
    <w:rsid w:val="0AFA042E"/>
    <w:rsid w:val="0B2A1661"/>
    <w:rsid w:val="0B8D2E25"/>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F22FC0"/>
    <w:rsid w:val="0FFC01D0"/>
    <w:rsid w:val="10086339"/>
    <w:rsid w:val="10545091"/>
    <w:rsid w:val="106211B9"/>
    <w:rsid w:val="10C57012"/>
    <w:rsid w:val="10D04745"/>
    <w:rsid w:val="10E62E3A"/>
    <w:rsid w:val="10F02982"/>
    <w:rsid w:val="10F507E0"/>
    <w:rsid w:val="10FC2F2E"/>
    <w:rsid w:val="116843E6"/>
    <w:rsid w:val="11D16376"/>
    <w:rsid w:val="12395C23"/>
    <w:rsid w:val="127448CD"/>
    <w:rsid w:val="129A2F84"/>
    <w:rsid w:val="12D348C9"/>
    <w:rsid w:val="1335780D"/>
    <w:rsid w:val="13371015"/>
    <w:rsid w:val="13584227"/>
    <w:rsid w:val="137039FD"/>
    <w:rsid w:val="1374732A"/>
    <w:rsid w:val="13DA5A86"/>
    <w:rsid w:val="13DE6251"/>
    <w:rsid w:val="13EC3EE7"/>
    <w:rsid w:val="141D7875"/>
    <w:rsid w:val="14593AAA"/>
    <w:rsid w:val="14EB6614"/>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8D7D6C"/>
    <w:rsid w:val="19F90C5F"/>
    <w:rsid w:val="1A254691"/>
    <w:rsid w:val="1A486529"/>
    <w:rsid w:val="1A9E5F71"/>
    <w:rsid w:val="1AE25D7E"/>
    <w:rsid w:val="1AE654C9"/>
    <w:rsid w:val="1AF076EF"/>
    <w:rsid w:val="1B0A7817"/>
    <w:rsid w:val="1B2149FE"/>
    <w:rsid w:val="1B270EEF"/>
    <w:rsid w:val="1B6173EB"/>
    <w:rsid w:val="1B67724E"/>
    <w:rsid w:val="1BBE6686"/>
    <w:rsid w:val="1BD72202"/>
    <w:rsid w:val="1C5F4D1A"/>
    <w:rsid w:val="1C783AB3"/>
    <w:rsid w:val="1CE302EB"/>
    <w:rsid w:val="1D765E33"/>
    <w:rsid w:val="1D8C2009"/>
    <w:rsid w:val="1DD66F5C"/>
    <w:rsid w:val="1E6840D6"/>
    <w:rsid w:val="1E974363"/>
    <w:rsid w:val="1E9E3727"/>
    <w:rsid w:val="1EAB292D"/>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560F79"/>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C50499"/>
    <w:rsid w:val="2ED15314"/>
    <w:rsid w:val="2F946D19"/>
    <w:rsid w:val="2F955305"/>
    <w:rsid w:val="2FC35C5B"/>
    <w:rsid w:val="2FF474F5"/>
    <w:rsid w:val="301C02EE"/>
    <w:rsid w:val="303F6882"/>
    <w:rsid w:val="30E1509C"/>
    <w:rsid w:val="30FA6A96"/>
    <w:rsid w:val="311D7312"/>
    <w:rsid w:val="318908BB"/>
    <w:rsid w:val="319910DF"/>
    <w:rsid w:val="31F83CF9"/>
    <w:rsid w:val="320329AC"/>
    <w:rsid w:val="320B20ED"/>
    <w:rsid w:val="324D574B"/>
    <w:rsid w:val="327C32E7"/>
    <w:rsid w:val="3288092E"/>
    <w:rsid w:val="329A1838"/>
    <w:rsid w:val="331C5ADC"/>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75517E"/>
    <w:rsid w:val="37C63633"/>
    <w:rsid w:val="37DF6FB1"/>
    <w:rsid w:val="37E06CB4"/>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73AE4"/>
    <w:rsid w:val="3E887EA3"/>
    <w:rsid w:val="3ED83037"/>
    <w:rsid w:val="3ED86D6F"/>
    <w:rsid w:val="3F012EB2"/>
    <w:rsid w:val="3F6F050F"/>
    <w:rsid w:val="3FA8698C"/>
    <w:rsid w:val="3FAB5DE3"/>
    <w:rsid w:val="3FB50EC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7004A0"/>
    <w:rsid w:val="497B3A24"/>
    <w:rsid w:val="49887640"/>
    <w:rsid w:val="4A5D4EF8"/>
    <w:rsid w:val="4B31724C"/>
    <w:rsid w:val="4B77923A"/>
    <w:rsid w:val="4B7B7ABD"/>
    <w:rsid w:val="4BC975CC"/>
    <w:rsid w:val="4BCB5719"/>
    <w:rsid w:val="4BEC5E5C"/>
    <w:rsid w:val="4C0807C4"/>
    <w:rsid w:val="4C1126F7"/>
    <w:rsid w:val="4C37454D"/>
    <w:rsid w:val="4C885189"/>
    <w:rsid w:val="4CA24245"/>
    <w:rsid w:val="4D26727B"/>
    <w:rsid w:val="4D35134A"/>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995ED8"/>
    <w:rsid w:val="56D25757"/>
    <w:rsid w:val="56D27CC5"/>
    <w:rsid w:val="57331A5F"/>
    <w:rsid w:val="577566EA"/>
    <w:rsid w:val="57CC4BC2"/>
    <w:rsid w:val="57D112BE"/>
    <w:rsid w:val="57F509CA"/>
    <w:rsid w:val="57FB1D20"/>
    <w:rsid w:val="582708F3"/>
    <w:rsid w:val="584D6171"/>
    <w:rsid w:val="5886571D"/>
    <w:rsid w:val="5896260E"/>
    <w:rsid w:val="58F54B90"/>
    <w:rsid w:val="59100756"/>
    <w:rsid w:val="59B26577"/>
    <w:rsid w:val="59D407F3"/>
    <w:rsid w:val="5A270F74"/>
    <w:rsid w:val="5A4237C2"/>
    <w:rsid w:val="5A4A6BBD"/>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9754F2"/>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7556F4"/>
    <w:rsid w:val="6190176D"/>
    <w:rsid w:val="61AE034A"/>
    <w:rsid w:val="61C0099E"/>
    <w:rsid w:val="6224081C"/>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864C16"/>
    <w:rsid w:val="65962CB9"/>
    <w:rsid w:val="65CE3A11"/>
    <w:rsid w:val="65DF7841"/>
    <w:rsid w:val="66193BC5"/>
    <w:rsid w:val="665E2609"/>
    <w:rsid w:val="665E568D"/>
    <w:rsid w:val="668565B8"/>
    <w:rsid w:val="66BB3013"/>
    <w:rsid w:val="66EA2DD5"/>
    <w:rsid w:val="66F845BE"/>
    <w:rsid w:val="67202EBF"/>
    <w:rsid w:val="672D0274"/>
    <w:rsid w:val="673B087A"/>
    <w:rsid w:val="67CD5013"/>
    <w:rsid w:val="67DC44C8"/>
    <w:rsid w:val="67E27102"/>
    <w:rsid w:val="67E2769A"/>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3A689C"/>
    <w:rsid w:val="6C4B5232"/>
    <w:rsid w:val="6CDF300C"/>
    <w:rsid w:val="6D246976"/>
    <w:rsid w:val="6D3A6034"/>
    <w:rsid w:val="6D6D737F"/>
    <w:rsid w:val="6DAE032D"/>
    <w:rsid w:val="6E1419C2"/>
    <w:rsid w:val="6E2F6060"/>
    <w:rsid w:val="6E4D74E7"/>
    <w:rsid w:val="6E6A2ACF"/>
    <w:rsid w:val="6F201526"/>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AA2F61"/>
    <w:rsid w:val="72C928DE"/>
    <w:rsid w:val="73287267"/>
    <w:rsid w:val="73665B70"/>
    <w:rsid w:val="73985210"/>
    <w:rsid w:val="73BF6478"/>
    <w:rsid w:val="740E7EEC"/>
    <w:rsid w:val="746A3F20"/>
    <w:rsid w:val="747859F3"/>
    <w:rsid w:val="74851F82"/>
    <w:rsid w:val="74BD4012"/>
    <w:rsid w:val="75491A51"/>
    <w:rsid w:val="75516DFF"/>
    <w:rsid w:val="759345A2"/>
    <w:rsid w:val="75AF60E4"/>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B6696"/>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9992</Words>
  <Characters>12228</Characters>
  <Lines>0</Lines>
  <Paragraphs>0</Paragraphs>
  <TotalTime>1</TotalTime>
  <ScaleCrop>false</ScaleCrop>
  <LinksUpToDate>false</LinksUpToDate>
  <CharactersWithSpaces>13083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2026-08-10T06:05:10Z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