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C0303">
      <w:pPr>
        <w:pageBreakBefore w:val="0"/>
        <w:tabs>
          <w:tab w:val="left" w:pos="1418"/>
        </w:tabs>
        <w:kinsoku/>
        <w:overflowPunct/>
        <w:autoSpaceDE w:val="0"/>
        <w:autoSpaceDN w:val="0"/>
        <w:bidi w:val="0"/>
        <w:adjustRightInd w:val="0"/>
        <w:snapToGrid w:val="0"/>
        <w:spacing w:line="400" w:lineRule="exact"/>
        <w:ind w:left="1491" w:hanging="1491" w:hangingChars="500"/>
        <w:jc w:val="left"/>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rFonts w:hint="eastAsia" w:ascii="宋体" w:cs="宋体"/>
          <w:b/>
          <w:snapToGrid w:val="0"/>
          <w:color w:val="0000FF"/>
          <w:w w:val="99"/>
          <w:kern w:val="0"/>
          <w:sz w:val="30"/>
          <w:szCs w:val="30"/>
          <w:highlight w:val="none"/>
        </w:rPr>
        <w:t>项目名称</w:t>
      </w:r>
      <w:r>
        <w:rPr>
          <w:rFonts w:hint="eastAsia" w:ascii="宋体" w:cs="宋体"/>
          <w:b/>
          <w:snapToGrid w:val="0"/>
          <w:color w:val="0000FF"/>
          <w:w w:val="99"/>
          <w:kern w:val="0"/>
          <w:sz w:val="30"/>
          <w:szCs w:val="30"/>
          <w:highlight w:val="none"/>
          <w:lang w:eastAsia="zh-CN"/>
        </w:rPr>
        <w:t>：</w:t>
      </w:r>
      <w:r>
        <w:rPr>
          <w:rFonts w:hint="eastAsia" w:ascii="Times New Roman" w:hAnsi="Times New Roman" w:cs="Times New Roman"/>
          <w:b w:val="0"/>
          <w:bCs w:val="0"/>
          <w:i w:val="0"/>
          <w:iCs w:val="0"/>
          <w:caps w:val="0"/>
          <w:color w:val="0000FF"/>
          <w:spacing w:val="0"/>
          <w:kern w:val="44"/>
          <w:sz w:val="32"/>
          <w:szCs w:val="32"/>
          <w:lang w:val="en-US" w:eastAsia="zh-CN" w:bidi="ar"/>
        </w:rPr>
        <w:t>哈尔滨</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医科大学附属第</w:t>
      </w:r>
      <w:r>
        <w:rPr>
          <w:rFonts w:hint="eastAsia" w:ascii="Times New Roman" w:hAnsi="Times New Roman" w:cs="Times New Roman"/>
          <w:b w:val="0"/>
          <w:bCs w:val="0"/>
          <w:i w:val="0"/>
          <w:iCs w:val="0"/>
          <w:caps w:val="0"/>
          <w:color w:val="0000FF"/>
          <w:spacing w:val="0"/>
          <w:kern w:val="44"/>
          <w:sz w:val="32"/>
          <w:szCs w:val="32"/>
          <w:lang w:val="en-US" w:eastAsia="zh-CN" w:bidi="ar"/>
        </w:rPr>
        <w:t>二</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医院肝素结合蛋白测定试剂盒</w:t>
      </w:r>
      <w:r>
        <w:rPr>
          <w:rFonts w:hint="eastAsia" w:ascii="Times New Roman" w:hAnsi="Times New Roman" w:cs="Times New Roman"/>
          <w:b w:val="0"/>
          <w:bCs w:val="0"/>
          <w:i w:val="0"/>
          <w:iCs w:val="0"/>
          <w:caps w:val="0"/>
          <w:color w:val="0000FF"/>
          <w:spacing w:val="0"/>
          <w:kern w:val="44"/>
          <w:sz w:val="32"/>
          <w:szCs w:val="32"/>
          <w:lang w:val="en-US" w:eastAsia="zh-CN" w:bidi="ar"/>
        </w:rPr>
        <w:t>等</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耗材</w:t>
      </w:r>
      <w:r>
        <w:rPr>
          <w:rFonts w:hint="eastAsia" w:ascii="Times New Roman" w:hAnsi="Times New Roman" w:cs="Times New Roman"/>
          <w:b w:val="0"/>
          <w:bCs w:val="0"/>
          <w:i w:val="0"/>
          <w:iCs w:val="0"/>
          <w:caps w:val="0"/>
          <w:color w:val="0000FF"/>
          <w:spacing w:val="0"/>
          <w:kern w:val="44"/>
          <w:sz w:val="32"/>
          <w:szCs w:val="32"/>
          <w:lang w:val="en-US" w:eastAsia="zh-CN" w:bidi="ar"/>
        </w:rPr>
        <w:t>（试剂）</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采购项目</w:t>
      </w:r>
    </w:p>
    <w:p w14:paraId="125CC3E6">
      <w:pPr>
        <w:keepNext w:val="0"/>
        <w:keepLines w:val="0"/>
        <w:pageBreakBefore w:val="0"/>
        <w:widowControl w:val="0"/>
        <w:tabs>
          <w:tab w:val="left" w:pos="1418"/>
        </w:tabs>
        <w:kinsoku/>
        <w:wordWrap/>
        <w:overflowPunct/>
        <w:topLinePunct w:val="0"/>
        <w:autoSpaceDE w:val="0"/>
        <w:autoSpaceDN w:val="0"/>
        <w:bidi w:val="0"/>
        <w:adjustRightInd w:val="0"/>
        <w:snapToGrid w:val="0"/>
        <w:spacing w:after="157" w:afterLines="50" w:line="300" w:lineRule="auto"/>
        <w:jc w:val="both"/>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b/>
          <w:color w:val="0000FF"/>
          <w:sz w:val="30"/>
          <w:szCs w:val="30"/>
          <w:highlight w:val="none"/>
        </w:rPr>
        <w:t>项目编号：</w:t>
      </w:r>
      <w:r>
        <w:rPr>
          <w:rFonts w:hint="eastAsia" w:asciiTheme="minorEastAsia" w:hAnsiTheme="minorEastAsia" w:cstheme="minorEastAsia"/>
          <w:b w:val="0"/>
          <w:bCs w:val="0"/>
          <w:i w:val="0"/>
          <w:iCs w:val="0"/>
          <w:caps w:val="0"/>
          <w:color w:val="0000FF"/>
          <w:spacing w:val="0"/>
          <w:kern w:val="44"/>
          <w:sz w:val="32"/>
          <w:szCs w:val="32"/>
          <w:lang w:val="en-US" w:eastAsia="zh-CN" w:bidi="ar"/>
        </w:rPr>
        <w:t>LX26CG002</w:t>
      </w:r>
    </w:p>
    <w:p w14:paraId="4DCD9ABA">
      <w:pPr>
        <w:pageBreakBefore w:val="0"/>
        <w:tabs>
          <w:tab w:val="left" w:pos="1418"/>
        </w:tabs>
        <w:kinsoku/>
        <w:overflowPunct/>
        <w:autoSpaceDE w:val="0"/>
        <w:autoSpaceDN w:val="0"/>
        <w:bidi w:val="0"/>
        <w:adjustRightInd w:val="0"/>
        <w:snapToGrid w:val="0"/>
        <w:spacing w:line="400" w:lineRule="exact"/>
        <w:jc w:val="left"/>
        <w:textAlignment w:val="auto"/>
        <w:rPr>
          <w:rFonts w:hint="default" w:ascii="宋体" w:eastAsia="宋体" w:cs="宋体"/>
          <w:b/>
          <w:snapToGrid w:val="0"/>
          <w:color w:val="00B0F0"/>
          <w:w w:val="99"/>
          <w:kern w:val="0"/>
          <w:sz w:val="30"/>
          <w:szCs w:val="30"/>
          <w:highlight w:val="yellow"/>
          <w:lang w:val="en-US" w:eastAsia="zh-CN"/>
        </w:rPr>
      </w:pPr>
    </w:p>
    <w:p w14:paraId="50219224">
      <w:pPr>
        <w:pStyle w:val="6"/>
        <w:pageBreakBefore w:val="0"/>
        <w:kinsoku/>
        <w:overflowPunct/>
        <w:bidi w:val="0"/>
        <w:spacing w:after="0" w:line="400" w:lineRule="exact"/>
        <w:textAlignment w:val="auto"/>
        <w:rPr>
          <w:rFonts w:hint="eastAsia"/>
          <w:color w:val="auto"/>
          <w:highlight w:val="none"/>
        </w:rPr>
      </w:pPr>
    </w:p>
    <w:p w14:paraId="3C929C5F">
      <w:pPr>
        <w:rPr>
          <w:rFonts w:hint="eastAsia"/>
          <w:color w:val="auto"/>
          <w:highlight w:val="none"/>
        </w:rPr>
      </w:pPr>
    </w:p>
    <w:p w14:paraId="5396E589">
      <w:pPr>
        <w:pStyle w:val="13"/>
        <w:rPr>
          <w:rFonts w:hint="eastAsia"/>
          <w:color w:val="auto"/>
          <w:highlight w:val="none"/>
        </w:rPr>
      </w:pPr>
    </w:p>
    <w:p w14:paraId="21C57208">
      <w:pPr>
        <w:pStyle w:val="13"/>
        <w:rPr>
          <w:rFonts w:hint="eastAsia"/>
          <w:color w:val="auto"/>
          <w:highlight w:val="none"/>
        </w:rPr>
      </w:pPr>
    </w:p>
    <w:p w14:paraId="4F4A8916">
      <w:pPr>
        <w:pStyle w:val="13"/>
        <w:ind w:left="0" w:leftChars="0" w:firstLine="0" w:firstLineChars="0"/>
        <w:rPr>
          <w:rFonts w:hint="eastAsia"/>
          <w:color w:val="auto"/>
          <w:highlight w:val="none"/>
        </w:rPr>
      </w:pPr>
    </w:p>
    <w:p w14:paraId="440B38C0">
      <w:pPr>
        <w:pageBreakBefore w:val="0"/>
        <w:kinsoku/>
        <w:overflowPunct/>
        <w:bidi w:val="0"/>
        <w:spacing w:line="400" w:lineRule="exact"/>
        <w:textAlignment w:val="auto"/>
        <w:rPr>
          <w:rFonts w:hint="eastAsia"/>
          <w:b/>
          <w:bCs/>
          <w:color w:val="auto"/>
          <w:sz w:val="32"/>
          <w:szCs w:val="32"/>
          <w:highlight w:val="none"/>
        </w:rPr>
      </w:pPr>
    </w:p>
    <w:p w14:paraId="105D91F8">
      <w:pPr>
        <w:pageBreakBefore w:val="0"/>
        <w:kinsoku/>
        <w:overflowPunct/>
        <w:bidi w:val="0"/>
        <w:spacing w:line="360" w:lineRule="auto"/>
        <w:jc w:val="center"/>
        <w:textAlignment w:val="auto"/>
        <w:rPr>
          <w:rFonts w:hint="eastAsia" w:ascii="方正小标宋_GBK" w:hAnsi="方正小标宋_GBK" w:eastAsia="方正小标宋_GBK" w:cs="方正小标宋_GBK"/>
          <w:spacing w:val="-20"/>
          <w:kern w:val="2"/>
          <w:sz w:val="44"/>
          <w:szCs w:val="44"/>
          <w:lang w:val="en-US" w:eastAsia="zh-CN"/>
        </w:rPr>
      </w:pPr>
      <w:r>
        <w:rPr>
          <w:rFonts w:hint="eastAsia" w:ascii="黑体" w:hAnsi="Times New Roman" w:eastAsia="黑体" w:cs="Times New Roman"/>
          <w:b/>
          <w:color w:val="auto"/>
          <w:sz w:val="84"/>
          <w:szCs w:val="84"/>
          <w:highlight w:val="none"/>
          <w:lang w:val="en-US" w:eastAsia="zh-CN"/>
        </w:rPr>
        <w:t>遴选采购文件</w:t>
      </w:r>
    </w:p>
    <w:p w14:paraId="67B79C17">
      <w:pPr>
        <w:keepNext w:val="0"/>
        <w:keepLines w:val="0"/>
        <w:pageBreakBefore w:val="0"/>
        <w:widowControl w:val="0"/>
        <w:kinsoku/>
        <w:wordWrap/>
        <w:overflowPunct w:val="0"/>
        <w:topLinePunct w:val="0"/>
        <w:bidi w:val="0"/>
        <w:spacing w:after="0" w:line="300" w:lineRule="auto"/>
        <w:jc w:val="center"/>
        <w:textAlignment w:val="auto"/>
        <w:rPr>
          <w:rFonts w:hint="eastAsia" w:ascii="方正小标宋_GBK" w:hAnsi="方正小标宋_GBK" w:eastAsia="方正小标宋_GBK" w:cs="方正小标宋_GBK"/>
          <w:spacing w:val="-20"/>
          <w:kern w:val="2"/>
          <w:sz w:val="44"/>
          <w:szCs w:val="44"/>
          <w:lang w:val="en-US" w:eastAsia="zh-CN"/>
        </w:rPr>
      </w:pPr>
    </w:p>
    <w:p w14:paraId="10FB2C04">
      <w:pPr>
        <w:pStyle w:val="6"/>
        <w:rPr>
          <w:rFonts w:hint="eastAsia" w:ascii="方正小标宋_GBK" w:hAnsi="方正小标宋_GBK" w:eastAsia="方正小标宋_GBK" w:cs="方正小标宋_GBK"/>
          <w:spacing w:val="-20"/>
          <w:kern w:val="2"/>
          <w:sz w:val="44"/>
          <w:szCs w:val="44"/>
          <w:lang w:val="en-US" w:eastAsia="zh-CN"/>
        </w:rPr>
      </w:pPr>
    </w:p>
    <w:p w14:paraId="25DA8583">
      <w:pPr>
        <w:pStyle w:val="6"/>
        <w:rPr>
          <w:rFonts w:hint="eastAsia" w:ascii="方正小标宋_GBK" w:hAnsi="方正小标宋_GBK" w:eastAsia="方正小标宋_GBK" w:cs="方正小标宋_GBK"/>
          <w:spacing w:val="-20"/>
          <w:kern w:val="2"/>
          <w:sz w:val="44"/>
          <w:szCs w:val="44"/>
          <w:lang w:val="en-US" w:eastAsia="zh-CN"/>
        </w:rPr>
      </w:pPr>
    </w:p>
    <w:p w14:paraId="689532DC">
      <w:pPr>
        <w:pStyle w:val="6"/>
        <w:rPr>
          <w:rFonts w:hint="eastAsia" w:ascii="方正小标宋_GBK" w:hAnsi="方正小标宋_GBK" w:eastAsia="方正小标宋_GBK" w:cs="方正小标宋_GBK"/>
          <w:spacing w:val="-20"/>
          <w:kern w:val="2"/>
          <w:sz w:val="44"/>
          <w:szCs w:val="44"/>
          <w:lang w:val="en-US" w:eastAsia="zh-CN"/>
        </w:rPr>
      </w:pPr>
    </w:p>
    <w:p w14:paraId="57CE49D6">
      <w:pPr>
        <w:pageBreakBefore w:val="0"/>
        <w:tabs>
          <w:tab w:val="left" w:pos="6252"/>
        </w:tabs>
        <w:kinsoku/>
        <w:overflowPunct/>
        <w:bidi w:val="0"/>
        <w:adjustRightInd w:val="0"/>
        <w:snapToGrid w:val="0"/>
        <w:spacing w:line="400" w:lineRule="exact"/>
        <w:ind w:left="1506" w:hanging="1506" w:hangingChars="500"/>
        <w:jc w:val="center"/>
        <w:textAlignment w:val="auto"/>
        <w:rPr>
          <w:rFonts w:hint="eastAsia" w:ascii="宋体"/>
          <w:bCs/>
          <w:color w:val="auto"/>
          <w:spacing w:val="8"/>
          <w:kern w:val="0"/>
          <w:sz w:val="30"/>
          <w:szCs w:val="30"/>
          <w:highlight w:val="none"/>
        </w:rPr>
      </w:pPr>
      <w:r>
        <w:rPr>
          <w:rFonts w:hint="eastAsia"/>
          <w:b/>
          <w:color w:val="auto"/>
          <w:sz w:val="30"/>
          <w:szCs w:val="30"/>
          <w:highlight w:val="none"/>
        </w:rPr>
        <w:t>二〇二</w:t>
      </w:r>
      <w:r>
        <w:rPr>
          <w:rFonts w:hint="eastAsia"/>
          <w:b/>
          <w:color w:val="auto"/>
          <w:sz w:val="30"/>
          <w:szCs w:val="30"/>
          <w:highlight w:val="none"/>
          <w:lang w:val="en-US" w:eastAsia="zh-CN"/>
        </w:rPr>
        <w:t>六</w:t>
      </w:r>
      <w:r>
        <w:rPr>
          <w:rFonts w:hint="eastAsia"/>
          <w:b/>
          <w:color w:val="auto"/>
          <w:sz w:val="30"/>
          <w:szCs w:val="30"/>
          <w:highlight w:val="none"/>
        </w:rPr>
        <w:t>年</w:t>
      </w:r>
      <w:r>
        <w:rPr>
          <w:rFonts w:hint="eastAsia"/>
          <w:b/>
          <w:color w:val="auto"/>
          <w:sz w:val="30"/>
          <w:szCs w:val="30"/>
          <w:highlight w:val="none"/>
          <w:lang w:eastAsia="zh-CN"/>
        </w:rPr>
        <w:t>八</w:t>
      </w:r>
      <w:r>
        <w:rPr>
          <w:rFonts w:hint="eastAsia"/>
          <w:b/>
          <w:color w:val="auto"/>
          <w:sz w:val="30"/>
          <w:szCs w:val="30"/>
          <w:highlight w:val="none"/>
        </w:rPr>
        <w:t>月</w:t>
      </w:r>
    </w:p>
    <w:p w14:paraId="43DFDF58">
      <w:pPr>
        <w:rPr>
          <w:rFonts w:hint="eastAsia" w:asciiTheme="minorEastAsia" w:hAnsiTheme="minorEastAsia" w:cstheme="minorEastAsia"/>
          <w:b w:val="0"/>
          <w:bCs w:val="0"/>
          <w:i w:val="0"/>
          <w:iCs w:val="0"/>
          <w:caps w:val="0"/>
          <w:color w:val="333333"/>
          <w:spacing w:val="0"/>
          <w:kern w:val="44"/>
          <w:sz w:val="32"/>
          <w:szCs w:val="32"/>
          <w:lang w:val="en-US" w:eastAsia="zh-CN" w:bidi="ar"/>
        </w:rPr>
      </w:pPr>
      <w:r>
        <w:rPr>
          <w:rFonts w:hint="eastAsia" w:asciiTheme="minorEastAsia" w:hAnsiTheme="minorEastAsia" w:cstheme="minorEastAsia"/>
          <w:b w:val="0"/>
          <w:bCs w:val="0"/>
          <w:i w:val="0"/>
          <w:iCs w:val="0"/>
          <w:caps w:val="0"/>
          <w:color w:val="333333"/>
          <w:spacing w:val="0"/>
          <w:kern w:val="44"/>
          <w:sz w:val="32"/>
          <w:szCs w:val="32"/>
          <w:lang w:val="en-US" w:eastAsia="zh-CN" w:bidi="ar"/>
        </w:rPr>
        <w:br w:type="page"/>
      </w:r>
    </w:p>
    <w:p w14:paraId="1B969886">
      <w:pPr>
        <w:pageBreakBefore w:val="0"/>
        <w:kinsoku/>
        <w:overflowPunct/>
        <w:bidi w:val="0"/>
        <w:spacing w:line="400" w:lineRule="exact"/>
        <w:jc w:val="center"/>
        <w:textAlignment w:val="auto"/>
        <w:rPr>
          <w:rFonts w:hint="eastAsia" w:ascii="宋体" w:cs="宋体"/>
          <w:b/>
          <w:snapToGrid w:val="0"/>
          <w:color w:val="auto"/>
          <w:w w:val="99"/>
          <w:kern w:val="0"/>
          <w:sz w:val="44"/>
          <w:szCs w:val="44"/>
          <w:highlight w:val="none"/>
        </w:rPr>
      </w:pPr>
      <w:r>
        <w:rPr>
          <w:rFonts w:hint="eastAsia" w:ascii="宋体" w:cs="宋体"/>
          <w:b/>
          <w:snapToGrid w:val="0"/>
          <w:color w:val="auto"/>
          <w:w w:val="99"/>
          <w:kern w:val="0"/>
          <w:sz w:val="44"/>
          <w:szCs w:val="44"/>
          <w:highlight w:val="none"/>
          <w:lang w:val="zh-CN"/>
        </w:rPr>
        <w:t>目  录</w:t>
      </w:r>
    </w:p>
    <w:p w14:paraId="58B1D2F1">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36"/>
          <w:szCs w:val="24"/>
          <w:highlight w:val="none"/>
        </w:rPr>
        <w:fldChar w:fldCharType="begin"/>
      </w:r>
      <w:r>
        <w:rPr>
          <w:rFonts w:hint="eastAsia" w:ascii="宋体" w:cs="宋体"/>
          <w:color w:val="0000FF"/>
          <w:sz w:val="36"/>
          <w:szCs w:val="24"/>
          <w:highlight w:val="none"/>
        </w:rPr>
        <w:instrText xml:space="preserve">TOC \o "1-1" \h \u </w:instrText>
      </w:r>
      <w:r>
        <w:rPr>
          <w:rFonts w:hint="eastAsia" w:ascii="宋体" w:cs="宋体"/>
          <w:color w:val="0000FF"/>
          <w:sz w:val="36"/>
          <w:szCs w:val="24"/>
          <w:highlight w:val="none"/>
        </w:rPr>
        <w:fldChar w:fldCharType="separate"/>
      </w: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_Toc1889 </w:instrText>
      </w:r>
      <w:r>
        <w:rPr>
          <w:rFonts w:hint="eastAsia" w:ascii="宋体" w:cs="宋体"/>
          <w:color w:val="0000FF"/>
          <w:sz w:val="24"/>
          <w:szCs w:val="24"/>
          <w:highlight w:val="none"/>
        </w:rPr>
        <w:fldChar w:fldCharType="separate"/>
      </w:r>
      <w:r>
        <w:rPr>
          <w:rFonts w:hint="eastAsia" w:ascii="宋体"/>
          <w:snapToGrid w:val="0"/>
          <w:color w:val="0000FF"/>
          <w:kern w:val="0"/>
          <w:sz w:val="24"/>
          <w:szCs w:val="44"/>
          <w:highlight w:val="none"/>
        </w:rPr>
        <w:t xml:space="preserve">第一章  </w:t>
      </w:r>
      <w:r>
        <w:rPr>
          <w:rFonts w:hint="eastAsia" w:ascii="宋体"/>
          <w:snapToGrid w:val="0"/>
          <w:color w:val="0000FF"/>
          <w:kern w:val="0"/>
          <w:sz w:val="24"/>
          <w:szCs w:val="44"/>
          <w:highlight w:val="none"/>
          <w:lang w:val="en-US" w:eastAsia="zh-CN"/>
        </w:rPr>
        <w:t>供应商须知</w:t>
      </w:r>
      <w:r>
        <w:rPr>
          <w:color w:val="0000FF"/>
          <w:sz w:val="24"/>
          <w:szCs w:val="24"/>
          <w:highlight w:val="none"/>
        </w:rPr>
        <w:tab/>
      </w:r>
      <w:r>
        <w:rPr>
          <w:rFonts w:hint="eastAsia" w:ascii="宋体" w:cs="宋体"/>
          <w:color w:val="0000FF"/>
          <w:sz w:val="24"/>
          <w:szCs w:val="24"/>
          <w:highlight w:val="none"/>
        </w:rPr>
        <w:fldChar w:fldCharType="end"/>
      </w:r>
    </w:p>
    <w:p w14:paraId="0DDDB767">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_Toc24770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二</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采购需求</w:t>
      </w:r>
      <w:r>
        <w:rPr>
          <w:color w:val="0000FF"/>
          <w:sz w:val="24"/>
          <w:szCs w:val="24"/>
          <w:highlight w:val="none"/>
        </w:rPr>
        <w:tab/>
      </w:r>
      <w:r>
        <w:rPr>
          <w:rFonts w:hint="eastAsia" w:ascii="宋体" w:cs="宋体"/>
          <w:color w:val="0000FF"/>
          <w:sz w:val="24"/>
          <w:szCs w:val="24"/>
          <w:highlight w:val="none"/>
        </w:rPr>
        <w:fldChar w:fldCharType="end"/>
      </w:r>
    </w:p>
    <w:p w14:paraId="01BB9F76">
      <w:pPr>
        <w:pStyle w:val="2"/>
        <w:pageBreakBefore w:val="0"/>
        <w:tabs>
          <w:tab w:val="right" w:leader="dot" w:pos="9299"/>
        </w:tabs>
        <w:kinsoku/>
        <w:overflowPunct/>
        <w:bidi w:val="0"/>
        <w:spacing w:before="0" w:after="0" w:line="400" w:lineRule="exact"/>
        <w:textAlignment w:val="auto"/>
        <w:rPr>
          <w:rFonts w:hint="eastAsia"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_Toc23854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三</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评审</w:t>
      </w:r>
      <w:r>
        <w:rPr>
          <w:rFonts w:hint="eastAsia" w:ascii="宋体" w:hAnsi="Times New Roman" w:eastAsia="宋体" w:cs="Times New Roman"/>
          <w:snapToGrid w:val="0"/>
          <w:color w:val="0000FF"/>
          <w:kern w:val="0"/>
          <w:sz w:val="24"/>
          <w:szCs w:val="44"/>
          <w:highlight w:val="none"/>
          <w:lang w:val="en-US" w:eastAsia="zh-CN"/>
        </w:rPr>
        <w:t>程序及</w:t>
      </w:r>
      <w:r>
        <w:rPr>
          <w:rFonts w:hint="eastAsia" w:ascii="宋体" w:hAnsi="Times New Roman" w:eastAsia="宋体" w:cs="Times New Roman"/>
          <w:snapToGrid w:val="0"/>
          <w:color w:val="0000FF"/>
          <w:kern w:val="0"/>
          <w:sz w:val="24"/>
          <w:szCs w:val="44"/>
          <w:highlight w:val="none"/>
        </w:rPr>
        <w:t>方法</w:t>
      </w:r>
      <w:r>
        <w:rPr>
          <w:color w:val="0000FF"/>
          <w:sz w:val="24"/>
          <w:szCs w:val="24"/>
          <w:highlight w:val="none"/>
        </w:rPr>
        <w:tab/>
      </w:r>
      <w:r>
        <w:rPr>
          <w:rFonts w:hint="eastAsia" w:ascii="宋体" w:cs="宋体"/>
          <w:color w:val="0000FF"/>
          <w:sz w:val="24"/>
          <w:szCs w:val="24"/>
          <w:highlight w:val="none"/>
        </w:rPr>
        <w:fldChar w:fldCharType="end"/>
      </w:r>
    </w:p>
    <w:p w14:paraId="10BDD4CA">
      <w:pPr>
        <w:pStyle w:val="2"/>
        <w:pageBreakBefore w:val="0"/>
        <w:tabs>
          <w:tab w:val="right" w:leader="dot" w:pos="9299"/>
        </w:tabs>
        <w:kinsoku/>
        <w:overflowPunct/>
        <w:bidi w:val="0"/>
        <w:spacing w:before="0" w:after="0" w:line="400" w:lineRule="exact"/>
        <w:textAlignment w:val="auto"/>
        <w:rPr>
          <w:rFonts w:hint="default"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_Toc20473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四</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竞选文件格式</w:t>
      </w:r>
      <w:r>
        <w:rPr>
          <w:color w:val="0000FF"/>
          <w:sz w:val="24"/>
          <w:szCs w:val="24"/>
          <w:highlight w:val="none"/>
        </w:rPr>
        <w:tab/>
      </w:r>
      <w:r>
        <w:rPr>
          <w:rFonts w:hint="eastAsia" w:ascii="宋体" w:cs="宋体"/>
          <w:color w:val="0000FF"/>
          <w:sz w:val="24"/>
          <w:szCs w:val="24"/>
          <w:highlight w:val="none"/>
        </w:rPr>
        <w:fldChar w:fldCharType="end"/>
      </w:r>
    </w:p>
    <w:p w14:paraId="4BEE3160">
      <w:pPr>
        <w:pStyle w:val="8"/>
        <w:keepNext w:val="0"/>
        <w:keepLines w:val="0"/>
        <w:pageBreakBefore w:val="0"/>
        <w:kinsoku/>
        <w:wordWrap/>
        <w:overflowPunct/>
        <w:topLinePunct w:val="0"/>
        <w:autoSpaceDE/>
        <w:autoSpaceDN/>
        <w:bidi w:val="0"/>
        <w:adjustRightInd/>
        <w:snapToGrid w:val="0"/>
        <w:spacing w:line="300" w:lineRule="auto"/>
        <w:ind w:left="0" w:leftChars="0" w:firstLine="490" w:firstLineChars="175"/>
        <w:textAlignment w:val="auto"/>
        <w:rPr>
          <w:rFonts w:hint="eastAsia" w:ascii="方正仿宋_GBK" w:hAnsi="宋体" w:eastAsiaTheme="minorEastAsia"/>
          <w:sz w:val="24"/>
          <w:lang w:val="en-US" w:eastAsia="zh-CN"/>
        </w:rPr>
      </w:pPr>
      <w:r>
        <w:rPr>
          <w:rFonts w:hint="eastAsia" w:ascii="宋体" w:cs="宋体"/>
          <w:color w:val="0000FF"/>
          <w:sz w:val="28"/>
          <w:szCs w:val="36"/>
          <w:highlight w:val="none"/>
        </w:rPr>
        <w:fldChar w:fldCharType="end"/>
      </w:r>
    </w:p>
    <w:p w14:paraId="7438C289">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38C12D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D5F69F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FCC0B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F81041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8D5127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DB4506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CD290D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A40EA4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2E876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584CC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8DE976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6C874C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F64D9E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132A52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E1B640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11FA848">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6E5E70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67764F0">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43464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CBB8F8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CF5AB3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5CEE8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5A76BC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A7D55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11DB484">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rPr>
      </w:pPr>
    </w:p>
    <w:p w14:paraId="70025C33">
      <w:pPr>
        <w:pStyle w:val="3"/>
        <w:pageBreakBefore w:val="0"/>
        <w:numPr>
          <w:ilvl w:val="0"/>
          <w:numId w:val="1"/>
        </w:numPr>
        <w:kinsoku/>
        <w:overflowPunct/>
        <w:bidi w:val="0"/>
        <w:spacing w:before="0" w:after="0" w:line="400" w:lineRule="exact"/>
        <w:jc w:val="center"/>
        <w:textAlignment w:val="auto"/>
        <w:rPr>
          <w:rFonts w:hint="eastAsia"/>
          <w:snapToGrid w:val="0"/>
          <w:color w:val="auto"/>
          <w:kern w:val="0"/>
          <w:sz w:val="32"/>
          <w:szCs w:val="32"/>
          <w:highlight w:val="none"/>
          <w:lang w:val="en-US" w:eastAsia="zh-CN"/>
        </w:rPr>
      </w:pPr>
      <w:bookmarkStart w:id="0" w:name="_Toc430530415"/>
      <w:bookmarkStart w:id="1" w:name="_Toc287607727"/>
      <w:bookmarkStart w:id="2" w:name="_Toc509218691"/>
      <w:bookmarkStart w:id="3" w:name="_Toc26666"/>
      <w:bookmarkStart w:id="4" w:name="_Toc224103298"/>
      <w:bookmarkStart w:id="5" w:name="_Toc109032458"/>
      <w:bookmarkStart w:id="6" w:name="_Toc287620666"/>
      <w:bookmarkStart w:id="7" w:name="_Toc277082535"/>
      <w:bookmarkStart w:id="8" w:name="_Toc27983215"/>
      <w:bookmarkStart w:id="9" w:name="_Toc1889"/>
      <w:bookmarkStart w:id="10" w:name="OLE_LINK2"/>
      <w:r>
        <w:rPr>
          <w:rFonts w:hint="eastAsia" w:ascii="宋体"/>
          <w:snapToGrid w:val="0"/>
          <w:color w:val="auto"/>
          <w:kern w:val="0"/>
          <w:sz w:val="32"/>
          <w:szCs w:val="32"/>
          <w:highlight w:val="none"/>
        </w:rPr>
        <w:t xml:space="preserve"> </w:t>
      </w:r>
      <w:bookmarkEnd w:id="0"/>
      <w:bookmarkEnd w:id="1"/>
      <w:bookmarkEnd w:id="2"/>
      <w:bookmarkEnd w:id="3"/>
      <w:bookmarkEnd w:id="4"/>
      <w:bookmarkEnd w:id="5"/>
      <w:bookmarkEnd w:id="6"/>
      <w:bookmarkEnd w:id="7"/>
      <w:bookmarkEnd w:id="8"/>
      <w:bookmarkEnd w:id="9"/>
      <w:r>
        <w:rPr>
          <w:rFonts w:hint="eastAsia"/>
          <w:snapToGrid w:val="0"/>
          <w:color w:val="auto"/>
          <w:kern w:val="0"/>
          <w:sz w:val="32"/>
          <w:szCs w:val="32"/>
          <w:highlight w:val="none"/>
          <w:lang w:val="en-US" w:eastAsia="zh-CN"/>
        </w:rPr>
        <w:t>供应商须知</w:t>
      </w:r>
    </w:p>
    <w:bookmarkEnd w:id="10"/>
    <w:p w14:paraId="65610FAF">
      <w:pPr>
        <w:numPr>
          <w:ilvl w:val="0"/>
          <w:numId w:val="2"/>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报名事项</w:t>
      </w:r>
    </w:p>
    <w:p w14:paraId="11CC656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00" w:lineRule="auto"/>
        <w:ind w:right="0"/>
        <w:textAlignment w:val="auto"/>
        <w:rPr>
          <w:rFonts w:hint="default"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（一）报名时间及地点：</w:t>
      </w:r>
    </w:p>
    <w:p w14:paraId="442F9EFC">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default" w:ascii="方正仿宋_GBK" w:hAnsi="方正仿宋_GBK" w:eastAsia="方正仿宋_GBK" w:cs="方正仿宋_GBK"/>
          <w:color w:val="000000"/>
          <w:sz w:val="24"/>
          <w:lang w:val="en-US" w:eastAsia="zh-CN"/>
        </w:rPr>
        <w:t>1.</w:t>
      </w:r>
      <w:r>
        <w:rPr>
          <w:rFonts w:hint="eastAsia" w:ascii="方正仿宋_GBK" w:hAnsi="宋体" w:eastAsia="方正仿宋_GBK"/>
          <w:b/>
          <w:bCs/>
          <w:sz w:val="24"/>
          <w:lang w:val="en-US" w:eastAsia="zh-CN"/>
        </w:rPr>
        <w:t>报名时间</w:t>
      </w:r>
      <w:r>
        <w:rPr>
          <w:rFonts w:hint="eastAsia" w:ascii="方正仿宋_GBK" w:hAnsi="宋体" w:eastAsia="方正仿宋_GBK"/>
          <w:sz w:val="24"/>
          <w:lang w:val="en-US" w:eastAsia="zh-CN"/>
        </w:rPr>
        <w:t>：</w:t>
      </w:r>
      <w:r>
        <w:rPr>
          <w:rFonts w:hint="default" w:ascii="Times New Roman" w:hAnsi="Times New Roman" w:eastAsia="方正仿宋_GBK" w:cs="Times New Roman"/>
          <w:color w:val="auto"/>
          <w:sz w:val="24"/>
          <w:lang w:val="en-US" w:eastAsia="zh-CN"/>
        </w:rPr>
        <w:t>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8</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28</w:t>
      </w:r>
      <w:r>
        <w:rPr>
          <w:rFonts w:hint="default" w:ascii="Times New Roman" w:hAnsi="Times New Roman" w:eastAsia="方正仿宋_GBK" w:cs="Times New Roman"/>
          <w:color w:val="auto"/>
          <w:sz w:val="24"/>
          <w:lang w:val="en-US" w:eastAsia="zh-CN"/>
        </w:rPr>
        <w:t>日至202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9</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04</w:t>
      </w:r>
      <w:r>
        <w:rPr>
          <w:rFonts w:hint="default" w:ascii="Times New Roman" w:hAnsi="Times New Roman" w:eastAsia="方正仿宋_GBK" w:cs="Times New Roman"/>
          <w:color w:val="auto"/>
          <w:sz w:val="24"/>
          <w:lang w:val="en-US" w:eastAsia="zh-CN"/>
        </w:rPr>
        <w:t>日</w:t>
      </w:r>
      <w:bookmarkStart w:id="21" w:name="_GoBack"/>
      <w:bookmarkEnd w:id="21"/>
      <w:r>
        <w:rPr>
          <w:rFonts w:hint="eastAsia" w:ascii="方正仿宋_GBK" w:hAnsi="宋体" w:eastAsia="方正仿宋_GBK"/>
          <w:color w:val="auto"/>
          <w:sz w:val="24"/>
          <w:lang w:val="en-US" w:eastAsia="zh-CN"/>
        </w:rPr>
        <w:t>（节</w:t>
      </w:r>
      <w:r>
        <w:rPr>
          <w:rFonts w:hint="eastAsia" w:ascii="方正仿宋_GBK" w:hAnsi="宋体" w:eastAsia="方正仿宋_GBK"/>
          <w:sz w:val="24"/>
          <w:lang w:val="en-US" w:eastAsia="zh-CN"/>
        </w:rPr>
        <w:t>假日除外），每天上午9:00～11:00，下午2:30～4:00，供应商必须在规定时间内提交相关资质及报名表（电子版+纸质版），逾期不再受理。如供应商需对报名材料及资质进行修改、补充，也须在报名时间内完成，</w:t>
      </w:r>
      <w:r>
        <w:rPr>
          <w:rFonts w:hint="default" w:ascii="方正仿宋_GBK" w:hAnsi="宋体" w:eastAsia="方正仿宋_GBK"/>
          <w:sz w:val="24"/>
          <w:lang w:val="en-US" w:eastAsia="zh-CN"/>
        </w:rPr>
        <w:t>逾期不再受理</w:t>
      </w:r>
      <w:r>
        <w:rPr>
          <w:rFonts w:hint="eastAsia" w:ascii="方正仿宋_GBK" w:hAnsi="宋体" w:eastAsia="方正仿宋_GBK"/>
          <w:sz w:val="24"/>
          <w:lang w:val="en-US" w:eastAsia="zh-CN"/>
        </w:rPr>
        <w:t>。</w:t>
      </w:r>
    </w:p>
    <w:p w14:paraId="7D14419E">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eastAsia" w:ascii="方正仿宋_GBK" w:hAnsi="方正仿宋_GBK" w:eastAsia="方正仿宋_GBK" w:cs="方正仿宋_GBK"/>
          <w:color w:val="000000"/>
          <w:sz w:val="24"/>
          <w:lang w:val="en-US" w:eastAsia="zh-CN"/>
        </w:rPr>
        <w:t>2</w:t>
      </w:r>
      <w:r>
        <w:rPr>
          <w:rFonts w:hint="default" w:ascii="方正仿宋_GBK" w:hAnsi="方正仿宋_GBK" w:eastAsia="方正仿宋_GBK" w:cs="方正仿宋_GBK"/>
          <w:color w:val="000000"/>
          <w:sz w:val="24"/>
          <w:lang w:val="en-US" w:eastAsia="zh-CN"/>
        </w:rPr>
        <w:t>.</w:t>
      </w:r>
      <w:r>
        <w:rPr>
          <w:rFonts w:hint="eastAsia" w:ascii="方正仿宋_GBK" w:hAnsi="宋体" w:eastAsia="方正仿宋_GBK"/>
          <w:b/>
          <w:bCs/>
          <w:sz w:val="24"/>
          <w:lang w:val="en-US" w:eastAsia="zh-CN"/>
        </w:rPr>
        <w:t>报名地点</w:t>
      </w:r>
      <w:r>
        <w:rPr>
          <w:rFonts w:hint="eastAsia" w:ascii="方正仿宋_GBK" w:hAnsi="宋体" w:eastAsia="方正仿宋_GBK"/>
          <w:sz w:val="24"/>
          <w:lang w:val="en-US" w:eastAsia="zh-CN"/>
        </w:rPr>
        <w:t>：哈尔滨医科大学附属第二医院物资中心A307室。</w:t>
      </w:r>
    </w:p>
    <w:p w14:paraId="052BB9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（二）报名材料要求：</w:t>
      </w:r>
    </w:p>
    <w:p w14:paraId="1EDEF4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宋体" w:eastAsia="方正仿宋_GBK" w:cstheme="minorBidi"/>
          <w:kern w:val="2"/>
          <w:sz w:val="24"/>
          <w:szCs w:val="24"/>
          <w:lang w:val="en-US" w:eastAsia="zh-CN" w:bidi="ar-SA"/>
        </w:rPr>
        <w:t>1.竞选文件正本 1份、电子版形式1份（具体要求见附件2）。电子文档内容包括</w:t>
      </w:r>
      <w:r>
        <w:rPr>
          <w:rFonts w:hint="default" w:ascii="方正仿宋_GBK" w:hAnsi="方正仿宋_GBK" w:eastAsia="方正仿宋_GBK" w:cs="方正仿宋_GBK"/>
          <w:color w:val="000000"/>
          <w:sz w:val="24"/>
          <w:lang w:val="en-US" w:eastAsia="zh-CN"/>
        </w:rPr>
        <w:t>《耗材遴选采购报名表》</w:t>
      </w:r>
      <w:r>
        <w:rPr>
          <w:rFonts w:hint="eastAsia" w:ascii="方正仿宋_GBK" w:hAnsi="宋体" w:eastAsia="方正仿宋_GBK" w:cstheme="minorBidi"/>
          <w:kern w:val="2"/>
          <w:sz w:val="24"/>
          <w:szCs w:val="24"/>
          <w:lang w:val="en-US" w:eastAsia="zh-CN" w:bidi="ar-SA"/>
        </w:rPr>
        <w:t>及所有正本纸质资料扫描后的PDF版，PDF文本应与纸质文件正本一致</w:t>
      </w:r>
      <w:r>
        <w:rPr>
          <w:rFonts w:hint="eastAsia" w:ascii="方正仿宋_GBK" w:hAnsi="方正仿宋_GBK" w:eastAsia="方正仿宋_GBK" w:cs="方正仿宋_GBK"/>
          <w:b w:val="0"/>
          <w:bCs w:val="0"/>
          <w:kern w:val="44"/>
          <w:sz w:val="24"/>
          <w:szCs w:val="24"/>
          <w:lang w:val="en-US" w:eastAsia="zh-CN" w:bidi="ar-SA"/>
        </w:rPr>
        <w:t>。</w:t>
      </w:r>
    </w:p>
    <w:p w14:paraId="0D1DBC2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cstheme="minorBidi"/>
          <w:kern w:val="2"/>
          <w:sz w:val="24"/>
          <w:szCs w:val="24"/>
          <w:lang w:val="en-US" w:eastAsia="zh-CN" w:bidi="ar-SA"/>
        </w:rPr>
        <w:t>2.我院在竞选有效期内及合同签订前均有权对供应商提供的资料（证明材料和证件的原件或复印件）进行核实。若发现弄虚作假，按相关规定取消其中选资格，并按相关法律法规处理，供应商承担因此造成的相关责任并赔偿相应损失。</w:t>
      </w:r>
    </w:p>
    <w:p w14:paraId="5ED8640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（三）二次遴选采购公告的情形：</w:t>
      </w:r>
    </w:p>
    <w:p w14:paraId="17873F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firstLine="480" w:firstLineChars="200"/>
        <w:textAlignment w:val="auto"/>
        <w:rPr>
          <w:rFonts w:hint="eastAsia" w:ascii="方正仿宋_GBK" w:hAnsi="方正仿宋_GBK" w:eastAsia="方正仿宋_GBK" w:cs="方正仿宋_GBK"/>
          <w:color w:val="000000"/>
          <w:sz w:val="24"/>
          <w:lang w:val="en-US" w:eastAsia="zh-CN"/>
        </w:rPr>
      </w:pPr>
      <w:r>
        <w:rPr>
          <w:rFonts w:hint="default" w:ascii="方正仿宋_GBK" w:hAnsi="方正仿宋_GBK" w:eastAsia="方正仿宋_GBK" w:cs="方正仿宋_GBK"/>
          <w:color w:val="000000"/>
          <w:sz w:val="24"/>
          <w:lang w:val="en-US" w:eastAsia="zh-CN"/>
        </w:rPr>
        <w:t>对于</w:t>
      </w:r>
      <w:r>
        <w:rPr>
          <w:rFonts w:hint="eastAsia" w:ascii="方正仿宋_GBK" w:hAnsi="方正仿宋_GBK" w:eastAsia="方正仿宋_GBK" w:cs="方正仿宋_GBK"/>
          <w:color w:val="000000"/>
          <w:sz w:val="24"/>
          <w:lang w:val="en-US" w:eastAsia="zh-CN"/>
        </w:rPr>
        <w:t>第一次挂网</w:t>
      </w:r>
      <w:r>
        <w:rPr>
          <w:rFonts w:hint="default" w:ascii="方正仿宋_GBK" w:hAnsi="方正仿宋_GBK" w:eastAsia="方正仿宋_GBK" w:cs="方正仿宋_GBK"/>
          <w:color w:val="000000"/>
          <w:sz w:val="24"/>
          <w:lang w:val="en-US" w:eastAsia="zh-CN"/>
        </w:rPr>
        <w:t>不足3家供应商报名的，</w:t>
      </w:r>
      <w:r>
        <w:rPr>
          <w:rFonts w:hint="eastAsia" w:ascii="方正仿宋_GBK" w:hAnsi="方正仿宋_GBK" w:eastAsia="方正仿宋_GBK" w:cs="方正仿宋_GBK"/>
          <w:color w:val="000000"/>
          <w:sz w:val="24"/>
          <w:lang w:val="en-US" w:eastAsia="zh-CN"/>
        </w:rPr>
        <w:t>采购人</w:t>
      </w:r>
      <w:r>
        <w:rPr>
          <w:rFonts w:hint="default" w:ascii="方正仿宋_GBK" w:hAnsi="方正仿宋_GBK" w:eastAsia="方正仿宋_GBK" w:cs="方正仿宋_GBK"/>
          <w:color w:val="000000"/>
          <w:sz w:val="24"/>
          <w:lang w:val="en-US" w:eastAsia="zh-CN"/>
        </w:rPr>
        <w:t>会进行二次挂网。对于已经报名成功的供应商，无需在二次挂网期间再次报名。对于未报名或报名不成功的供应商，可在二次挂网期间进行报名</w:t>
      </w:r>
      <w:r>
        <w:rPr>
          <w:rFonts w:hint="eastAsia" w:ascii="方正仿宋_GBK" w:hAnsi="方正仿宋_GBK" w:eastAsia="方正仿宋_GBK" w:cs="方正仿宋_GBK"/>
          <w:color w:val="000000"/>
          <w:sz w:val="24"/>
          <w:lang w:val="en-US" w:eastAsia="zh-CN"/>
        </w:rPr>
        <w:t>。</w:t>
      </w:r>
    </w:p>
    <w:p w14:paraId="3C3A21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default"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（四）其他：</w:t>
      </w:r>
    </w:p>
    <w:p w14:paraId="0FE91B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1.本项目支持部分产品报名。</w:t>
      </w:r>
    </w:p>
    <w:p w14:paraId="24AA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2.实际采购产品和数量以采购人向供应商发送的送货通知为准。</w:t>
      </w:r>
    </w:p>
    <w:p w14:paraId="495B20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方正仿宋_GBK" w:hAnsi="方正仿宋_GBK" w:eastAsia="方正仿宋_GBK" w:cs="方正仿宋_GBK"/>
          <w:color w:val="000000"/>
          <w:sz w:val="24"/>
          <w:lang w:val="en-US" w:eastAsia="zh-CN"/>
        </w:rPr>
        <w:t>3.本项目不接受联合体报名，不允许合同分包、转包。</w:t>
      </w:r>
    </w:p>
    <w:p w14:paraId="09762CA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73A98A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71C6D4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0FD9A5D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3C6CD6CA">
      <w:pPr>
        <w:pStyle w:val="3"/>
        <w:pageBreakBefore w:val="0"/>
        <w:numPr>
          <w:ilvl w:val="0"/>
          <w:numId w:val="1"/>
        </w:numPr>
        <w:kinsoku/>
        <w:overflowPunct/>
        <w:bidi w:val="0"/>
        <w:spacing w:before="0" w:after="0" w:line="400" w:lineRule="exact"/>
        <w:jc w:val="center"/>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宋体"/>
          <w:snapToGrid w:val="0"/>
          <w:color w:val="auto"/>
          <w:kern w:val="0"/>
          <w:sz w:val="32"/>
          <w:szCs w:val="32"/>
          <w:highlight w:val="none"/>
        </w:rPr>
        <w:t xml:space="preserve"> </w:t>
      </w:r>
      <w:r>
        <w:rPr>
          <w:rFonts w:hint="eastAsia"/>
          <w:snapToGrid w:val="0"/>
          <w:color w:val="auto"/>
          <w:kern w:val="0"/>
          <w:sz w:val="32"/>
          <w:szCs w:val="32"/>
          <w:highlight w:val="none"/>
          <w:lang w:val="en-US" w:eastAsia="zh-CN"/>
        </w:rPr>
        <w:t>采购需求</w:t>
      </w:r>
    </w:p>
    <w:p w14:paraId="5878D62B">
      <w:pPr>
        <w:jc w:val="center"/>
        <w:rPr>
          <w:rFonts w:hint="eastAsia"/>
          <w:lang w:val="en-US" w:eastAsia="zh-CN"/>
        </w:rPr>
      </w:pPr>
      <w:r>
        <w:rPr>
          <w:rFonts w:hint="eastAsia" w:ascii="方正仿宋_GBK" w:hAnsi="宋体" w:eastAsia="方正仿宋_GBK"/>
          <w:sz w:val="24"/>
          <w:lang w:val="en-US" w:eastAsia="zh-CN"/>
        </w:rPr>
        <w:t>（竞选人提供“实质性响应承诺函”（见格式文件））</w:t>
      </w:r>
    </w:p>
    <w:p w14:paraId="661149B9">
      <w:pPr>
        <w:numPr>
          <w:ilvl w:val="0"/>
          <w:numId w:val="3"/>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产品目录及参数要求等</w:t>
      </w:r>
    </w:p>
    <w:tbl>
      <w:tblPr>
        <w:tblStyle w:val="15"/>
        <w:tblW w:w="10960" w:type="dxa"/>
        <w:tblInd w:w="-5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137"/>
        <w:gridCol w:w="2543"/>
        <w:gridCol w:w="4026"/>
        <w:gridCol w:w="1200"/>
        <w:gridCol w:w="1200"/>
      </w:tblGrid>
      <w:tr w14:paraId="1ECC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序号</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3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产品名称</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5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基本用途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功能/参数要求</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8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使用科室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3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备注</w:t>
            </w:r>
          </w:p>
        </w:tc>
      </w:tr>
      <w:tr w14:paraId="1379C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C5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C2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肝素结合蛋白测定试剂盒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08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用于体外定量检测人血浆中肝素结合蛋白（</w:t>
            </w:r>
            <w:r>
              <w:rPr>
                <w:rFonts w:hint="default" w:ascii="Times New Roman" w:hAnsi="Times New Roman" w:eastAsia="宋体" w:cs="Times New Roman"/>
                <w:i w:val="0"/>
                <w:iCs w:val="0"/>
                <w:color w:val="000000"/>
                <w:kern w:val="0"/>
                <w:sz w:val="20"/>
                <w:szCs w:val="20"/>
                <w:u w:val="none"/>
                <w:lang w:val="en-US" w:eastAsia="zh-CN" w:bidi="ar"/>
              </w:rPr>
              <w:t>HBP</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AB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质控品独立注册，具有注册证；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板条室温保存，缓冲液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每次测定需使用样本量为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≤8.5 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≤0.2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≤4.0 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5.9 ng/mL ~ 300.0 ng/mL</w:t>
            </w:r>
            <w:r>
              <w:rPr>
                <w:rStyle w:val="26"/>
                <w:lang w:val="en-US" w:eastAsia="zh-CN" w:bidi="ar"/>
              </w:rPr>
              <w:t>区间内，其相关系数（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）不低于</w:t>
            </w:r>
            <w:r>
              <w:rPr>
                <w:rFonts w:hint="default" w:ascii="Times New Roman" w:hAnsi="Times New Roman" w:eastAsia="宋体" w:cs="Times New Roman"/>
                <w:i w:val="0"/>
                <w:iCs w:val="0"/>
                <w:color w:val="000000"/>
                <w:kern w:val="0"/>
                <w:sz w:val="20"/>
                <w:szCs w:val="20"/>
                <w:u w:val="none"/>
                <w:lang w:val="en-US" w:eastAsia="zh-CN" w:bidi="ar"/>
              </w:rPr>
              <w:t>0.9900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CV≤5%</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孵育时间为</w:t>
            </w:r>
            <w:r>
              <w:rPr>
                <w:rFonts w:hint="default" w:ascii="Times New Roman" w:hAnsi="Times New Roman" w:eastAsia="宋体" w:cs="Times New Roman"/>
                <w:i w:val="0"/>
                <w:iCs w:val="0"/>
                <w:color w:val="000000"/>
                <w:kern w:val="0"/>
                <w:sz w:val="20"/>
                <w:szCs w:val="20"/>
                <w:u w:val="none"/>
                <w:lang w:val="en-US" w:eastAsia="zh-CN" w:bidi="ar"/>
              </w:rPr>
              <w:t>≤18min</w:t>
            </w:r>
            <w:r>
              <w:rPr>
                <w:rStyle w:val="26"/>
                <w:lang w:val="en-US" w:eastAsia="zh-CN" w:bidi="ar"/>
              </w:rPr>
              <w:t>。</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158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ICU</w:t>
            </w: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34B8888F">
            <w:pPr>
              <w:keepNext w:val="0"/>
              <w:keepLines w:val="0"/>
              <w:widowControl/>
              <w:suppressLineNumbers w:val="0"/>
              <w:tabs>
                <w:tab w:val="left" w:pos="461"/>
              </w:tabs>
              <w:spacing w:before="0" w:beforeAutospacing="0" w:after="0" w:afterAutospacing="0"/>
              <w:ind w:left="0" w:right="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可与全自动荧光免疫分析仪Jet-iStar Max设备配套使用</w:t>
            </w:r>
          </w:p>
        </w:tc>
      </w:tr>
      <w:tr w14:paraId="50319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01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85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可溶性生长刺激表达基因</w:t>
            </w:r>
            <w:r>
              <w:rPr>
                <w:rStyle w:val="27"/>
                <w:rFonts w:eastAsia="宋体"/>
                <w:lang w:val="en-US" w:eastAsia="zh-CN" w:bidi="ar"/>
              </w:rPr>
              <w:t>2</w:t>
            </w:r>
            <w:r>
              <w:rPr>
                <w:rStyle w:val="26"/>
                <w:lang w:val="en-US" w:eastAsia="zh-CN" w:bidi="ar"/>
              </w:rPr>
              <w:t>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F7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用于体外定量测定人血清、血浆和全血中可溶性生长刺激表达基因</w:t>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蛋白</w:t>
            </w:r>
            <w:r>
              <w:rPr>
                <w:rFonts w:hint="default" w:ascii="Times New Roman" w:hAnsi="Times New Roman" w:eastAsia="宋体" w:cs="Times New Roman"/>
                <w:i w:val="0"/>
                <w:iCs w:val="0"/>
                <w:color w:val="000000"/>
                <w:kern w:val="0"/>
                <w:sz w:val="20"/>
                <w:szCs w:val="20"/>
                <w:u w:val="none"/>
                <w:lang w:val="en-US" w:eastAsia="zh-CN" w:bidi="ar"/>
              </w:rPr>
              <w:t>(ST2)</w:t>
            </w:r>
            <w:r>
              <w:rPr>
                <w:rStyle w:val="26"/>
                <w:lang w:val="en-US" w:eastAsia="zh-CN" w:bidi="ar"/>
              </w:rPr>
              <w:t>的浓度。可用于心力衰竭的辅助诊断。</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FC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板条室温保存，缓冲液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℃保存，有效期不少于</w:t>
            </w:r>
            <w:r>
              <w:rPr>
                <w:rFonts w:hint="default" w:ascii="Times New Roman" w:hAnsi="Times New Roman" w:eastAsia="宋体" w:cs="Times New Roman"/>
                <w:i w:val="0"/>
                <w:iCs w:val="0"/>
                <w:color w:val="000000"/>
                <w:kern w:val="0"/>
                <w:sz w:val="20"/>
                <w:szCs w:val="20"/>
                <w:u w:val="none"/>
                <w:lang w:val="en-US" w:eastAsia="zh-CN" w:bidi="ar"/>
              </w:rPr>
              <w:t>24</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每次测定需使用样本量为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≤5mg/mL</w:t>
            </w:r>
            <w:r>
              <w:rPr>
                <w:rStyle w:val="26"/>
                <w:lang w:val="en-US" w:eastAsia="zh-CN" w:bidi="ar"/>
              </w:rPr>
              <w:t>、胆红素（游离）</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≤2.0 mg/mL</w:t>
            </w:r>
            <w:r>
              <w:rPr>
                <w:rStyle w:val="26"/>
                <w:lang w:val="en-US" w:eastAsia="zh-CN" w:bidi="ar"/>
              </w:rPr>
              <w:t>、类风湿因子</w:t>
            </w:r>
            <w:r>
              <w:rPr>
                <w:rFonts w:hint="default" w:ascii="Times New Roman" w:hAnsi="Times New Roman" w:eastAsia="宋体" w:cs="Times New Roman"/>
                <w:i w:val="0"/>
                <w:iCs w:val="0"/>
                <w:color w:val="000000"/>
                <w:kern w:val="0"/>
                <w:sz w:val="20"/>
                <w:szCs w:val="20"/>
                <w:u w:val="none"/>
                <w:lang w:val="en-US" w:eastAsia="zh-CN" w:bidi="ar"/>
              </w:rPr>
              <w:t>≤500IU/mL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3.0 ng/mL ~ 1000.0 ng/mL</w:t>
            </w:r>
            <w:r>
              <w:rPr>
                <w:rStyle w:val="26"/>
                <w:lang w:val="en-US" w:eastAsia="zh-CN" w:bidi="ar"/>
              </w:rPr>
              <w:t>区间内，其相关系数（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）不低于</w:t>
            </w:r>
            <w:r>
              <w:rPr>
                <w:rFonts w:hint="default" w:ascii="Times New Roman" w:hAnsi="Times New Roman" w:eastAsia="宋体" w:cs="Times New Roman"/>
                <w:i w:val="0"/>
                <w:iCs w:val="0"/>
                <w:color w:val="000000"/>
                <w:kern w:val="0"/>
                <w:sz w:val="20"/>
                <w:szCs w:val="20"/>
                <w:u w:val="none"/>
                <w:lang w:val="en-US" w:eastAsia="zh-CN" w:bidi="ar"/>
              </w:rPr>
              <w:t>0.9900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CV≤10%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CV≤15%</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心衰风险分层、预后评估和管理、指导用药。</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3EF4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784ECC2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50061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C9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01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脑利钠肽测定试剂盒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09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用于体外定量测定人血浆</w:t>
            </w:r>
            <w:r>
              <w:rPr>
                <w:rFonts w:hint="default" w:ascii="Times New Roman" w:hAnsi="Times New Roman" w:eastAsia="宋体" w:cs="Times New Roman"/>
                <w:i w:val="0"/>
                <w:iCs w:val="0"/>
                <w:color w:val="000000"/>
                <w:kern w:val="0"/>
                <w:sz w:val="20"/>
                <w:szCs w:val="20"/>
                <w:u w:val="none"/>
                <w:lang w:val="en-US" w:eastAsia="zh-CN" w:bidi="ar"/>
              </w:rPr>
              <w:t>/</w:t>
            </w:r>
            <w:r>
              <w:rPr>
                <w:rStyle w:val="26"/>
                <w:lang w:val="en-US" w:eastAsia="zh-CN" w:bidi="ar"/>
              </w:rPr>
              <w:t>全血中脑利钠肽的浓度。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B8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≤100μL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≤500 IU/mL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 mg/mL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ANP≤9.5 µg/L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NT-proBNP≤10ng/mL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CNP≤80ng/L</w:t>
            </w:r>
            <w:r>
              <w:rPr>
                <w:rStyle w:val="26"/>
                <w:lang w:val="en-US" w:eastAsia="zh-CN" w:bidi="ar"/>
              </w:rPr>
              <w:t>、血管紧张素</w:t>
            </w:r>
            <w:r>
              <w:rPr>
                <w:rFonts w:hint="default" w:ascii="Times New Roman" w:hAnsi="Times New Roman" w:eastAsia="宋体" w:cs="Times New Roman"/>
                <w:i w:val="0"/>
                <w:iCs w:val="0"/>
                <w:color w:val="000000"/>
                <w:kern w:val="0"/>
                <w:sz w:val="20"/>
                <w:szCs w:val="20"/>
                <w:u w:val="none"/>
                <w:lang w:val="en-US" w:eastAsia="zh-CN" w:bidi="ar"/>
              </w:rPr>
              <w:t>II≤80ng/L</w:t>
            </w:r>
            <w:r>
              <w:rPr>
                <w:rStyle w:val="26"/>
                <w:lang w:val="en-US" w:eastAsia="zh-CN" w:bidi="ar"/>
              </w:rPr>
              <w:t>、肾上腺素</w:t>
            </w:r>
            <w:r>
              <w:rPr>
                <w:rFonts w:hint="default" w:ascii="Times New Roman" w:hAnsi="Times New Roman" w:eastAsia="宋体" w:cs="Times New Roman"/>
                <w:i w:val="0"/>
                <w:iCs w:val="0"/>
                <w:color w:val="000000"/>
                <w:kern w:val="0"/>
                <w:sz w:val="20"/>
                <w:szCs w:val="20"/>
                <w:u w:val="none"/>
                <w:lang w:val="en-US" w:eastAsia="zh-CN" w:bidi="ar"/>
              </w:rPr>
              <w:t>≤0.9 µg/L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5.0 pg/mL ~ 5000.0 pg/mL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≤18min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可用于心力衰竭的辅助诊断。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70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6279AE2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6BC2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C5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7F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降钙素原测定试剂盒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C0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主要用于体外定量检测人血清</w:t>
            </w:r>
            <w:r>
              <w:rPr>
                <w:rStyle w:val="27"/>
                <w:rFonts w:eastAsia="宋体"/>
                <w:lang w:val="en-US" w:eastAsia="zh-CN" w:bidi="ar"/>
              </w:rPr>
              <w:t>/</w:t>
            </w:r>
            <w:r>
              <w:rPr>
                <w:rStyle w:val="26"/>
                <w:lang w:val="en-US" w:eastAsia="zh-CN" w:bidi="ar"/>
              </w:rPr>
              <w:t>血浆</w:t>
            </w:r>
            <w:r>
              <w:rPr>
                <w:rStyle w:val="27"/>
                <w:rFonts w:eastAsia="宋体"/>
                <w:lang w:val="en-US" w:eastAsia="zh-CN" w:bidi="ar"/>
              </w:rPr>
              <w:t>/</w:t>
            </w:r>
            <w:r>
              <w:rPr>
                <w:rStyle w:val="26"/>
                <w:lang w:val="en-US" w:eastAsia="zh-CN" w:bidi="ar"/>
              </w:rPr>
              <w:t>全血中的降钙素原（</w:t>
            </w:r>
            <w:r>
              <w:rPr>
                <w:rStyle w:val="27"/>
                <w:rFonts w:eastAsia="宋体"/>
                <w:lang w:val="en-US" w:eastAsia="zh-CN" w:bidi="ar"/>
              </w:rPr>
              <w:t>PCT</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4C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检测范围</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0.05-100ng/mL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板条室温保存，缓冲液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每次测定需使用样本量为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抗干扰要求：血红蛋白浓度</w:t>
            </w:r>
            <w:r>
              <w:rPr>
                <w:rFonts w:hint="default" w:ascii="Times New Roman" w:hAnsi="Times New Roman" w:eastAsia="宋体" w:cs="Times New Roman"/>
                <w:i w:val="0"/>
                <w:iCs w:val="0"/>
                <w:color w:val="000000"/>
                <w:kern w:val="0"/>
                <w:sz w:val="20"/>
                <w:szCs w:val="20"/>
                <w:u w:val="none"/>
                <w:lang w:val="en-US" w:eastAsia="zh-CN" w:bidi="ar"/>
              </w:rPr>
              <w:t>≤2.0mg/mL</w:t>
            </w:r>
            <w:r>
              <w:rPr>
                <w:rStyle w:val="26"/>
                <w:lang w:val="en-US" w:eastAsia="zh-CN" w:bidi="ar"/>
              </w:rPr>
              <w:t>、甘油三酯浓度</w:t>
            </w:r>
            <w:r>
              <w:rPr>
                <w:rFonts w:hint="default" w:ascii="Times New Roman" w:hAnsi="Times New Roman" w:eastAsia="宋体" w:cs="Times New Roman"/>
                <w:i w:val="0"/>
                <w:iCs w:val="0"/>
                <w:color w:val="000000"/>
                <w:kern w:val="0"/>
                <w:sz w:val="20"/>
                <w:szCs w:val="20"/>
                <w:u w:val="none"/>
                <w:lang w:val="en-US" w:eastAsia="zh-CN" w:bidi="ar"/>
              </w:rPr>
              <w:t>≤5.0mg/mL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≤0.15mg/mL</w:t>
            </w:r>
            <w:r>
              <w:rPr>
                <w:rStyle w:val="26"/>
                <w:lang w:val="en-US" w:eastAsia="zh-CN" w:bidi="ar"/>
              </w:rPr>
              <w:t>、类风湿因子</w:t>
            </w:r>
            <w:r>
              <w:rPr>
                <w:rFonts w:hint="default" w:ascii="Times New Roman" w:hAnsi="Times New Roman" w:eastAsia="宋体" w:cs="Times New Roman"/>
                <w:i w:val="0"/>
                <w:iCs w:val="0"/>
                <w:color w:val="000000"/>
                <w:kern w:val="0"/>
                <w:sz w:val="20"/>
                <w:szCs w:val="20"/>
                <w:u w:val="none"/>
                <w:lang w:val="en-US" w:eastAsia="zh-CN" w:bidi="ar"/>
              </w:rPr>
              <w:t>≤500IU/mL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0.05ng/ml ~ 100ng/mL</w:t>
            </w:r>
            <w:r>
              <w:rPr>
                <w:rStyle w:val="26"/>
                <w:lang w:val="en-US" w:eastAsia="zh-CN" w:bidi="ar"/>
              </w:rPr>
              <w:t>范围内，其相关系数（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≤10.0%</w:t>
            </w:r>
            <w:r>
              <w:rPr>
                <w:rStyle w:val="26"/>
                <w:lang w:val="en-US" w:eastAsia="zh-CN" w:bidi="ar"/>
              </w:rPr>
              <w:t>。批间差</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变异系数（</w:t>
            </w:r>
            <w:r>
              <w:rPr>
                <w:rFonts w:hint="default" w:ascii="Times New Roman" w:hAnsi="Times New Roman" w:eastAsia="宋体" w:cs="Times New Roman"/>
                <w:i w:val="0"/>
                <w:iCs w:val="0"/>
                <w:color w:val="000000"/>
                <w:kern w:val="0"/>
                <w:sz w:val="20"/>
                <w:szCs w:val="20"/>
                <w:u w:val="none"/>
                <w:lang w:val="en-US" w:eastAsia="zh-CN" w:bidi="ar"/>
              </w:rPr>
              <w:t>CV</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≤15%</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分钟；</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w:t>
            </w:r>
            <w:r>
              <w:rPr>
                <w:rStyle w:val="26"/>
                <w:lang w:val="en-US" w:eastAsia="zh-CN" w:bidi="ar"/>
              </w:rPr>
              <w:t>重症细菌感染推荐检测项目，指导抗生素使用。</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2AC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53E5AE1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06DB6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B4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08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D-</w:t>
            </w:r>
            <w:r>
              <w:rPr>
                <w:rStyle w:val="26"/>
                <w:lang w:val="en-US" w:eastAsia="zh-CN" w:bidi="ar"/>
              </w:rPr>
              <w:t>二聚体测定试剂盒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C43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用于体外定量测定人血浆、全血中的</w:t>
            </w:r>
            <w:r>
              <w:rPr>
                <w:rStyle w:val="27"/>
                <w:rFonts w:eastAsia="宋体"/>
                <w:lang w:val="en-US" w:eastAsia="zh-CN" w:bidi="ar"/>
              </w:rPr>
              <w:t>D-</w:t>
            </w:r>
            <w:r>
              <w:rPr>
                <w:rStyle w:val="26"/>
                <w:lang w:val="en-US" w:eastAsia="zh-CN" w:bidi="ar"/>
              </w:rPr>
              <w:t>二聚体的浓度。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AD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4-30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≤10μL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≤500 mg/dL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≤15 mg/dL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≤200mg/dL</w:t>
            </w:r>
            <w:r>
              <w:rPr>
                <w:rStyle w:val="26"/>
                <w:lang w:val="en-US" w:eastAsia="zh-CN" w:bidi="ar"/>
              </w:rPr>
              <w:t>、肝素浓度</w:t>
            </w:r>
            <w:r>
              <w:rPr>
                <w:rFonts w:hint="default" w:ascii="Times New Roman" w:hAnsi="Times New Roman" w:eastAsia="宋体" w:cs="Times New Roman"/>
                <w:i w:val="0"/>
                <w:iCs w:val="0"/>
                <w:color w:val="000000"/>
                <w:kern w:val="0"/>
                <w:sz w:val="20"/>
                <w:szCs w:val="20"/>
                <w:u w:val="none"/>
                <w:lang w:val="en-US" w:eastAsia="zh-CN" w:bidi="ar"/>
              </w:rPr>
              <w:t>≤3 mg/dL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50 ng/mL ~ 10000 ng/mL FEU</w:t>
            </w:r>
            <w:r>
              <w:rPr>
                <w:rStyle w:val="26"/>
                <w:lang w:val="en-US" w:eastAsia="zh-CN" w:bidi="ar"/>
              </w:rPr>
              <w:t>区间内，相关系数（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重复性要求：正常变异系数</w:t>
            </w:r>
            <w:r>
              <w:rPr>
                <w:rFonts w:hint="default" w:ascii="Times New Roman" w:hAnsi="Times New Roman" w:eastAsia="宋体" w:cs="Times New Roman"/>
                <w:i w:val="0"/>
                <w:iCs w:val="0"/>
                <w:color w:val="000000"/>
                <w:kern w:val="0"/>
                <w:sz w:val="20"/>
                <w:szCs w:val="20"/>
                <w:u w:val="none"/>
                <w:lang w:val="en-US" w:eastAsia="zh-CN" w:bidi="ar"/>
              </w:rPr>
              <w:t>CV≤15%</w:t>
            </w:r>
            <w:r>
              <w:rPr>
                <w:rStyle w:val="26"/>
                <w:lang w:val="en-US" w:eastAsia="zh-CN" w:bidi="ar"/>
              </w:rPr>
              <w:t>，高值变异系数</w:t>
            </w:r>
            <w:r>
              <w:rPr>
                <w:rFonts w:hint="default" w:ascii="Times New Roman" w:hAnsi="Times New Roman" w:eastAsia="宋体" w:cs="Times New Roman"/>
                <w:i w:val="0"/>
                <w:iCs w:val="0"/>
                <w:color w:val="000000"/>
                <w:kern w:val="0"/>
                <w:sz w:val="20"/>
                <w:szCs w:val="20"/>
                <w:u w:val="none"/>
                <w:lang w:val="en-US" w:eastAsia="zh-CN" w:bidi="ar"/>
              </w:rPr>
              <w:t>CV≤10%.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CV≤15%</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≤12min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静脉血栓性疾病等引起的继发性纤维蛋白溶解功能亢进、弥散性血管内凝血的辅助诊断。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E41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3DC3BD1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3A14E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C4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BC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肌钙蛋白</w:t>
            </w:r>
            <w:r>
              <w:rPr>
                <w:rStyle w:val="27"/>
                <w:rFonts w:eastAsia="宋体"/>
                <w:lang w:val="en-US" w:eastAsia="zh-CN" w:bidi="ar"/>
              </w:rPr>
              <w:t>I</w:t>
            </w:r>
            <w:r>
              <w:rPr>
                <w:rStyle w:val="26"/>
                <w:lang w:val="en-US" w:eastAsia="zh-CN" w:bidi="ar"/>
              </w:rPr>
              <w:t>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3A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用于体外定量测定人血清、血浆和全血中心肌肌钙蛋白</w:t>
            </w:r>
            <w:r>
              <w:rPr>
                <w:rStyle w:val="27"/>
                <w:rFonts w:eastAsia="宋体"/>
                <w:lang w:val="en-US" w:eastAsia="zh-CN" w:bidi="ar"/>
              </w:rPr>
              <w:t>I</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97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24</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≤100μL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≤1000IU/mL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 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0.05 ng/mL ~ 30.00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可用于急性心肌梗死的辅助诊断。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90D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4D013E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4208F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515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17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超敏肌钙蛋白</w:t>
            </w:r>
            <w:r>
              <w:rPr>
                <w:rStyle w:val="27"/>
                <w:rFonts w:eastAsia="宋体"/>
                <w:lang w:val="en-US" w:eastAsia="zh-CN" w:bidi="ar"/>
              </w:rPr>
              <w:t>I</w:t>
            </w:r>
            <w:r>
              <w:rPr>
                <w:rStyle w:val="26"/>
                <w:lang w:val="en-US" w:eastAsia="zh-CN" w:bidi="ar"/>
              </w:rPr>
              <w:t>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E7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用于体外定量测定人血清、血浆和全血中心肌肌钙蛋白</w:t>
            </w:r>
            <w:r>
              <w:rPr>
                <w:rFonts w:hint="default" w:ascii="Times New Roman" w:hAnsi="Times New Roman" w:eastAsia="宋体" w:cs="Times New Roman"/>
                <w:i w:val="0"/>
                <w:iCs w:val="0"/>
                <w:color w:val="000000"/>
                <w:kern w:val="0"/>
                <w:sz w:val="20"/>
                <w:szCs w:val="20"/>
                <w:u w:val="none"/>
                <w:lang w:val="en-US" w:eastAsia="zh-CN" w:bidi="ar"/>
              </w:rPr>
              <w:t>I</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4E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方法学：时间分辨免疫荧光法；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≤1000IU/mL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 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8.0pg/mL ~50000.0 pg/mL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可用于急性心肌梗死的辅助诊断。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118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76D8EF6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2172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1D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73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心型脂肪酸结合蛋白测定试剂盒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F94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用于体外定量检测人血清、血浆和全血中心型脂肪酸结合蛋白的浓度。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0C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4-30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≤30μL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≤5.0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≤2.0mg/mL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≤1000 IU/mL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1.0 ng/mL ~ 120.0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≤15min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w:t>
            </w:r>
            <w:r>
              <w:rPr>
                <w:rFonts w:hint="default" w:ascii="Times New Roman" w:hAnsi="Times New Roman" w:eastAsia="宋体" w:cs="Times New Roman"/>
                <w:i w:val="0"/>
                <w:iCs w:val="0"/>
                <w:color w:val="000000"/>
                <w:kern w:val="0"/>
                <w:sz w:val="20"/>
                <w:szCs w:val="20"/>
                <w:u w:val="none"/>
                <w:lang w:val="en-US" w:eastAsia="zh-CN" w:bidi="ar"/>
              </w:rPr>
              <w:t>AMI</w:t>
            </w:r>
            <w:r>
              <w:rPr>
                <w:rStyle w:val="26"/>
                <w:lang w:val="en-US" w:eastAsia="zh-CN" w:bidi="ar"/>
              </w:rPr>
              <w:t>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81B8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7C658F3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54100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E7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7F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氨基末端脑利钠肽前体测定试剂盒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38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用于体外定量测定人血清、血浆、全血中的氨基末端脑利钠肽前体的浓度。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FD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4-30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12</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≤85μL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≤500 mg/dL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≤15 mg/dL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≤200mg/dL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30.0 pg/mL ~ 35000.0 pg/mL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≤18min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用于充血性心力衰竭的辅助诊断以及急性冠状动脉综合征和充血性心力衰竭者的危险分级；</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D91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1AFAF71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AC5D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26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C1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肌酸激酶同工酶测定试剂盒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60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用于体外定量测定人血清、血浆和全血中肌酸激酶同工酶的浓度。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1A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≤8.5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≤500IU/mL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≤0.2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≤4.0 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1.0 ng/mL ~ 80.0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可用于急性心肌梗死的辅助诊断。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100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25C1038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1AEB4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5F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95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肌红蛋白测定试剂盒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C5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用于体外定量检测人血清、血浆和全血中肌红蛋白的浓度。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E3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18</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w:t>
            </w:r>
            <w:r>
              <w:rPr>
                <w:rFonts w:hint="default" w:ascii="Times New Roman" w:hAnsi="Times New Roman" w:eastAsia="宋体" w:cs="Times New Roman"/>
                <w:i w:val="0"/>
                <w:iCs w:val="0"/>
                <w:color w:val="000000"/>
                <w:kern w:val="0"/>
                <w:sz w:val="20"/>
                <w:szCs w:val="20"/>
                <w:u w:val="none"/>
                <w:lang w:val="en-US" w:eastAsia="zh-CN" w:bidi="ar"/>
              </w:rPr>
              <w:t>≤30μL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抗干扰要求：甘油三酯浓度</w:t>
            </w:r>
            <w:r>
              <w:rPr>
                <w:rFonts w:hint="default" w:ascii="Times New Roman" w:hAnsi="Times New Roman" w:eastAsia="宋体" w:cs="Times New Roman"/>
                <w:i w:val="0"/>
                <w:iCs w:val="0"/>
                <w:color w:val="000000"/>
                <w:kern w:val="0"/>
                <w:sz w:val="20"/>
                <w:szCs w:val="20"/>
                <w:u w:val="none"/>
                <w:lang w:val="en-US" w:eastAsia="zh-CN" w:bidi="ar"/>
              </w:rPr>
              <w:t>≤5.0 g/L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≤5.0g/L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 g/L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≤1000 IU/mL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2.4 ng/mL ~ 400.0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可用于</w:t>
            </w:r>
            <w:r>
              <w:rPr>
                <w:rFonts w:hint="default" w:ascii="Times New Roman" w:hAnsi="Times New Roman" w:eastAsia="宋体" w:cs="Times New Roman"/>
                <w:i w:val="0"/>
                <w:iCs w:val="0"/>
                <w:color w:val="000000"/>
                <w:kern w:val="0"/>
                <w:sz w:val="20"/>
                <w:szCs w:val="20"/>
                <w:u w:val="none"/>
                <w:lang w:val="en-US" w:eastAsia="zh-CN" w:bidi="ar"/>
              </w:rPr>
              <w:t>AMI</w:t>
            </w:r>
            <w:r>
              <w:rPr>
                <w:rStyle w:val="26"/>
                <w:lang w:val="en-US" w:eastAsia="zh-CN" w:bidi="ar"/>
              </w:rPr>
              <w:t>的辅助诊断。</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69F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4FF1918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5B09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FC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65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白介素</w:t>
            </w:r>
            <w:r>
              <w:rPr>
                <w:rStyle w:val="27"/>
                <w:rFonts w:eastAsia="宋体"/>
                <w:lang w:val="en-US" w:eastAsia="zh-CN" w:bidi="ar"/>
              </w:rPr>
              <w:t>6</w:t>
            </w:r>
            <w:r>
              <w:rPr>
                <w:rStyle w:val="26"/>
                <w:lang w:val="en-US" w:eastAsia="zh-CN" w:bidi="ar"/>
              </w:rPr>
              <w:t>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66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用于用于体外定量测定人血清、血浆和全血中白介素 </w:t>
            </w:r>
            <w:r>
              <w:rPr>
                <w:rStyle w:val="27"/>
                <w:rFonts w:eastAsia="宋体"/>
                <w:lang w:val="en-US" w:eastAsia="zh-CN" w:bidi="ar"/>
              </w:rPr>
              <w:t>6</w:t>
            </w:r>
            <w:r>
              <w:rPr>
                <w:rStyle w:val="26"/>
                <w:lang w:val="en-US" w:eastAsia="zh-CN" w:bidi="ar"/>
              </w:rPr>
              <w:t>（</w:t>
            </w:r>
            <w:r>
              <w:rPr>
                <w:rStyle w:val="27"/>
                <w:rFonts w:eastAsia="宋体"/>
                <w:lang w:val="en-US" w:eastAsia="zh-CN" w:bidi="ar"/>
              </w:rPr>
              <w:t>IL-6</w:t>
            </w:r>
            <w:r>
              <w:rPr>
                <w:rStyle w:val="26"/>
                <w:lang w:val="en-US" w:eastAsia="zh-CN" w:bidi="ar"/>
              </w:rPr>
              <w:t>）的浓度。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B0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检测范围</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3.0-5000pg/mL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板条和缓冲液室温保存，有效期不少于</w:t>
            </w:r>
            <w:r>
              <w:rPr>
                <w:rFonts w:hint="default" w:ascii="Times New Roman" w:hAnsi="Times New Roman" w:eastAsia="宋体" w:cs="Times New Roman"/>
                <w:i w:val="0"/>
                <w:iCs w:val="0"/>
                <w:color w:val="000000"/>
                <w:kern w:val="0"/>
                <w:sz w:val="20"/>
                <w:szCs w:val="20"/>
                <w:u w:val="none"/>
                <w:lang w:val="en-US" w:eastAsia="zh-CN" w:bidi="ar"/>
              </w:rPr>
              <w:t>24</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每次测定需使用样本量为</w:t>
            </w:r>
            <w:r>
              <w:rPr>
                <w:rFonts w:hint="default" w:ascii="Times New Roman" w:hAnsi="Times New Roman" w:eastAsia="宋体" w:cs="Times New Roman"/>
                <w:i w:val="0"/>
                <w:iCs w:val="0"/>
                <w:color w:val="000000"/>
                <w:kern w:val="0"/>
                <w:sz w:val="20"/>
                <w:szCs w:val="20"/>
                <w:u w:val="none"/>
                <w:lang w:val="en-US" w:eastAsia="zh-CN" w:bidi="ar"/>
              </w:rPr>
              <w:t>≤50μL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抗干扰要求：血红蛋白浓度</w:t>
            </w:r>
            <w:r>
              <w:rPr>
                <w:rFonts w:hint="default" w:ascii="Times New Roman" w:hAnsi="Times New Roman" w:eastAsia="宋体" w:cs="Times New Roman"/>
                <w:i w:val="0"/>
                <w:iCs w:val="0"/>
                <w:color w:val="000000"/>
                <w:kern w:val="0"/>
                <w:sz w:val="20"/>
                <w:szCs w:val="20"/>
                <w:u w:val="none"/>
                <w:lang w:val="en-US" w:eastAsia="zh-CN" w:bidi="ar"/>
              </w:rPr>
              <w:t>≤2.0mg/mL</w:t>
            </w:r>
            <w:r>
              <w:rPr>
                <w:rStyle w:val="26"/>
                <w:lang w:val="en-US" w:eastAsia="zh-CN" w:bidi="ar"/>
              </w:rPr>
              <w:t>、甘油三酯浓度</w:t>
            </w:r>
            <w:r>
              <w:rPr>
                <w:rFonts w:hint="default" w:ascii="Times New Roman" w:hAnsi="Times New Roman" w:eastAsia="宋体" w:cs="Times New Roman"/>
                <w:i w:val="0"/>
                <w:iCs w:val="0"/>
                <w:color w:val="000000"/>
                <w:kern w:val="0"/>
                <w:sz w:val="20"/>
                <w:szCs w:val="20"/>
                <w:u w:val="none"/>
                <w:lang w:val="en-US" w:eastAsia="zh-CN" w:bidi="ar"/>
              </w:rPr>
              <w:t>≤5.0mg/mL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≤0.15mg/mL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3.0pg/ml ~ 5000pg/mL</w:t>
            </w:r>
            <w:r>
              <w:rPr>
                <w:rStyle w:val="26"/>
                <w:lang w:val="en-US" w:eastAsia="zh-CN" w:bidi="ar"/>
              </w:rPr>
              <w:t>范围内，其相关系数（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重复性要求：低浓度样本</w:t>
            </w:r>
            <w:r>
              <w:rPr>
                <w:rFonts w:hint="default" w:ascii="Times New Roman" w:hAnsi="Times New Roman" w:eastAsia="宋体" w:cs="Times New Roman"/>
                <w:i w:val="0"/>
                <w:iCs w:val="0"/>
                <w:color w:val="000000"/>
                <w:kern w:val="0"/>
                <w:sz w:val="20"/>
                <w:szCs w:val="20"/>
                <w:u w:val="none"/>
                <w:lang w:val="en-US" w:eastAsia="zh-CN" w:bidi="ar"/>
              </w:rPr>
              <w:t xml:space="preserve">(30±3)pg/mL </w:t>
            </w:r>
            <w:r>
              <w:rPr>
                <w:rStyle w:val="26"/>
                <w:lang w:val="en-US" w:eastAsia="zh-CN" w:bidi="ar"/>
              </w:rPr>
              <w:t>变异系数（</w:t>
            </w:r>
            <w:r>
              <w:rPr>
                <w:rFonts w:hint="default" w:ascii="Times New Roman" w:hAnsi="Times New Roman" w:eastAsia="宋体" w:cs="Times New Roman"/>
                <w:i w:val="0"/>
                <w:iCs w:val="0"/>
                <w:color w:val="000000"/>
                <w:kern w:val="0"/>
                <w:sz w:val="20"/>
                <w:szCs w:val="20"/>
                <w:u w:val="none"/>
                <w:lang w:val="en-US" w:eastAsia="zh-CN" w:bidi="ar"/>
              </w:rPr>
              <w:t>CV</w:t>
            </w:r>
            <w:r>
              <w:rPr>
                <w:rStyle w:val="26"/>
                <w:lang w:val="en-US" w:eastAsia="zh-CN" w:bidi="ar"/>
              </w:rPr>
              <w:t>）应</w:t>
            </w:r>
            <w:r>
              <w:rPr>
                <w:rFonts w:hint="default" w:ascii="Times New Roman" w:hAnsi="Times New Roman" w:eastAsia="宋体" w:cs="Times New Roman"/>
                <w:i w:val="0"/>
                <w:iCs w:val="0"/>
                <w:color w:val="000000"/>
                <w:kern w:val="0"/>
                <w:sz w:val="20"/>
                <w:szCs w:val="20"/>
                <w:u w:val="none"/>
                <w:lang w:val="en-US" w:eastAsia="zh-CN" w:bidi="ar"/>
              </w:rPr>
              <w:t>≤12.0%</w:t>
            </w:r>
            <w:r>
              <w:rPr>
                <w:rStyle w:val="26"/>
                <w:lang w:val="en-US" w:eastAsia="zh-CN" w:bidi="ar"/>
              </w:rPr>
              <w:t>，高浓度样本（</w:t>
            </w:r>
            <w:r>
              <w:rPr>
                <w:rFonts w:hint="default" w:ascii="Times New Roman" w:hAnsi="Times New Roman" w:eastAsia="宋体" w:cs="Times New Roman"/>
                <w:i w:val="0"/>
                <w:iCs w:val="0"/>
                <w:color w:val="000000"/>
                <w:kern w:val="0"/>
                <w:sz w:val="20"/>
                <w:szCs w:val="20"/>
                <w:u w:val="none"/>
                <w:lang w:val="en-US" w:eastAsia="zh-CN" w:bidi="ar"/>
              </w:rPr>
              <w:t>1000±100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 xml:space="preserve">pg/mL </w:t>
            </w:r>
            <w:r>
              <w:rPr>
                <w:rStyle w:val="26"/>
                <w:lang w:val="en-US" w:eastAsia="zh-CN" w:bidi="ar"/>
              </w:rPr>
              <w:t>变异系数（</w:t>
            </w:r>
            <w:r>
              <w:rPr>
                <w:rFonts w:hint="default" w:ascii="Times New Roman" w:hAnsi="Times New Roman" w:eastAsia="宋体" w:cs="Times New Roman"/>
                <w:i w:val="0"/>
                <w:iCs w:val="0"/>
                <w:color w:val="000000"/>
                <w:kern w:val="0"/>
                <w:sz w:val="20"/>
                <w:szCs w:val="20"/>
                <w:u w:val="none"/>
                <w:lang w:val="en-US" w:eastAsia="zh-CN" w:bidi="ar"/>
              </w:rPr>
              <w:t>CV</w:t>
            </w:r>
            <w:r>
              <w:rPr>
                <w:rStyle w:val="26"/>
                <w:lang w:val="en-US" w:eastAsia="zh-CN" w:bidi="ar"/>
              </w:rPr>
              <w:t>）应</w:t>
            </w:r>
            <w:r>
              <w:rPr>
                <w:rFonts w:hint="default" w:ascii="Times New Roman" w:hAnsi="Times New Roman" w:eastAsia="宋体" w:cs="Times New Roman"/>
                <w:i w:val="0"/>
                <w:iCs w:val="0"/>
                <w:color w:val="000000"/>
                <w:kern w:val="0"/>
                <w:sz w:val="20"/>
                <w:szCs w:val="20"/>
                <w:u w:val="none"/>
                <w:lang w:val="en-US" w:eastAsia="zh-CN" w:bidi="ar"/>
              </w:rPr>
              <w:t>≤10.0%</w:t>
            </w:r>
            <w:r>
              <w:rPr>
                <w:rStyle w:val="26"/>
                <w:lang w:val="en-US" w:eastAsia="zh-CN" w:bidi="ar"/>
              </w:rPr>
              <w:t>。批间差</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变异系数</w:t>
            </w:r>
            <w:r>
              <w:rPr>
                <w:rFonts w:hint="default" w:ascii="Times New Roman" w:hAnsi="Times New Roman" w:eastAsia="宋体" w:cs="Times New Roman"/>
                <w:i w:val="0"/>
                <w:iCs w:val="0"/>
                <w:color w:val="000000"/>
                <w:kern w:val="0"/>
                <w:sz w:val="20"/>
                <w:szCs w:val="20"/>
                <w:u w:val="none"/>
                <w:lang w:val="en-US" w:eastAsia="zh-CN" w:bidi="ar"/>
              </w:rPr>
              <w:t>CV≤15%</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:≤10min</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10.</w:t>
            </w:r>
            <w:r>
              <w:rPr>
                <w:rStyle w:val="26"/>
                <w:lang w:val="en-US" w:eastAsia="zh-CN" w:bidi="ar"/>
              </w:rPr>
              <w:t>急性感染的早期诊断、感染严重程度评估、脓毒症预警等。</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EEDB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61DC502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77F85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21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E9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中性粒细胞明胶酶相关脂质运载蛋白测定试剂盒</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B2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用于体外定量检测人尿液、血清、血浆和全血中中性粒细胞明胶酶相关脂质运载蛋白的浓度。</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C7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26"/>
                <w:lang w:val="en-US" w:eastAsia="zh-CN" w:bidi="ar"/>
              </w:rPr>
              <w:t>方法学：荧光免疫法；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Style w:val="26"/>
                <w:lang w:val="en-US" w:eastAsia="zh-CN" w:bidi="ar"/>
              </w:rPr>
              <w:t>缓冲液</w:t>
            </w:r>
            <w:r>
              <w:rPr>
                <w:rFonts w:hint="default" w:ascii="Times New Roman" w:hAnsi="Times New Roman" w:eastAsia="宋体" w:cs="Times New Roman"/>
                <w:i w:val="0"/>
                <w:iCs w:val="0"/>
                <w:color w:val="000000"/>
                <w:kern w:val="0"/>
                <w:sz w:val="20"/>
                <w:szCs w:val="20"/>
                <w:u w:val="none"/>
                <w:lang w:val="en-US" w:eastAsia="zh-CN" w:bidi="ar"/>
              </w:rPr>
              <w:t>2-8</w:t>
            </w:r>
            <w:r>
              <w:rPr>
                <w:rStyle w:val="26"/>
                <w:lang w:val="en-US" w:eastAsia="zh-CN" w:bidi="ar"/>
              </w:rPr>
              <w:t>℃保存，反应板在密封情况下存于</w:t>
            </w:r>
            <w:r>
              <w:rPr>
                <w:rFonts w:hint="default" w:ascii="Times New Roman" w:hAnsi="Times New Roman" w:eastAsia="宋体" w:cs="Times New Roman"/>
                <w:i w:val="0"/>
                <w:iCs w:val="0"/>
                <w:color w:val="000000"/>
                <w:kern w:val="0"/>
                <w:sz w:val="20"/>
                <w:szCs w:val="20"/>
                <w:u w:val="none"/>
                <w:lang w:val="en-US" w:eastAsia="zh-CN" w:bidi="ar"/>
              </w:rPr>
              <w:t>2-30</w:t>
            </w:r>
            <w:r>
              <w:rPr>
                <w:rStyle w:val="26"/>
                <w:lang w:val="en-US" w:eastAsia="zh-CN" w:bidi="ar"/>
              </w:rPr>
              <w:t>℃，有效期不少于</w:t>
            </w:r>
            <w:r>
              <w:rPr>
                <w:rFonts w:hint="default" w:ascii="Times New Roman" w:hAnsi="Times New Roman" w:eastAsia="宋体" w:cs="Times New Roman"/>
                <w:i w:val="0"/>
                <w:iCs w:val="0"/>
                <w:color w:val="000000"/>
                <w:kern w:val="0"/>
                <w:sz w:val="20"/>
                <w:szCs w:val="20"/>
                <w:u w:val="none"/>
                <w:lang w:val="en-US" w:eastAsia="zh-CN" w:bidi="ar"/>
              </w:rPr>
              <w:t>15</w:t>
            </w:r>
            <w:r>
              <w:rPr>
                <w:rStyle w:val="26"/>
                <w:lang w:val="en-US" w:eastAsia="zh-CN" w:bidi="ar"/>
              </w:rPr>
              <w:t>个月；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Style w:val="26"/>
                <w:lang w:val="en-US" w:eastAsia="zh-CN" w:bidi="ar"/>
              </w:rPr>
              <w:t>无需额外校准，每批试剂内置校准曲线；</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26"/>
                <w:lang w:val="en-US" w:eastAsia="zh-CN" w:bidi="ar"/>
              </w:rPr>
              <w:t>每次测定使用样本量为尿液</w:t>
            </w:r>
            <w:r>
              <w:rPr>
                <w:rFonts w:hint="default" w:ascii="Times New Roman" w:hAnsi="Times New Roman" w:eastAsia="宋体" w:cs="Times New Roman"/>
                <w:i w:val="0"/>
                <w:iCs w:val="0"/>
                <w:color w:val="000000"/>
                <w:kern w:val="0"/>
                <w:sz w:val="20"/>
                <w:szCs w:val="20"/>
                <w:u w:val="none"/>
                <w:lang w:val="en-US" w:eastAsia="zh-CN" w:bidi="ar"/>
              </w:rPr>
              <w:t>≤15μL</w:t>
            </w:r>
            <w:r>
              <w:rPr>
                <w:rStyle w:val="26"/>
                <w:lang w:val="en-US" w:eastAsia="zh-CN" w:bidi="ar"/>
              </w:rPr>
              <w:t>，血液</w:t>
            </w:r>
            <w:r>
              <w:rPr>
                <w:rFonts w:hint="default" w:ascii="Times New Roman" w:hAnsi="Times New Roman" w:eastAsia="宋体" w:cs="Times New Roman"/>
                <w:i w:val="0"/>
                <w:iCs w:val="0"/>
                <w:color w:val="000000"/>
                <w:kern w:val="0"/>
                <w:sz w:val="20"/>
                <w:szCs w:val="20"/>
                <w:u w:val="none"/>
                <w:lang w:val="en-US" w:eastAsia="zh-CN" w:bidi="ar"/>
              </w:rPr>
              <w:t>≤10μL</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26"/>
                <w:lang w:val="en-US" w:eastAsia="zh-CN" w:bidi="ar"/>
              </w:rPr>
              <w:t>抗干扰要求：血液中维生素</w:t>
            </w:r>
            <w:r>
              <w:rPr>
                <w:rFonts w:hint="default" w:ascii="Times New Roman" w:hAnsi="Times New Roman" w:eastAsia="宋体" w:cs="Times New Roman"/>
                <w:i w:val="0"/>
                <w:iCs w:val="0"/>
                <w:color w:val="000000"/>
                <w:kern w:val="0"/>
                <w:sz w:val="20"/>
                <w:szCs w:val="20"/>
                <w:u w:val="none"/>
                <w:lang w:val="en-US" w:eastAsia="zh-CN" w:bidi="ar"/>
              </w:rPr>
              <w:t>C≤5.0mg/mL</w:t>
            </w:r>
            <w:r>
              <w:rPr>
                <w:rStyle w:val="26"/>
                <w:lang w:val="en-US" w:eastAsia="zh-CN" w:bidi="ar"/>
              </w:rPr>
              <w:t>、甘油三酯浓度</w:t>
            </w:r>
            <w:r>
              <w:rPr>
                <w:rFonts w:hint="default" w:ascii="Times New Roman" w:hAnsi="Times New Roman" w:eastAsia="宋体" w:cs="Times New Roman"/>
                <w:i w:val="0"/>
                <w:iCs w:val="0"/>
                <w:color w:val="000000"/>
                <w:kern w:val="0"/>
                <w:sz w:val="20"/>
                <w:szCs w:val="20"/>
                <w:u w:val="none"/>
                <w:lang w:val="en-US" w:eastAsia="zh-CN" w:bidi="ar"/>
              </w:rPr>
              <w:t>≤15.0 mg/mL</w:t>
            </w:r>
            <w:r>
              <w:rPr>
                <w:rStyle w:val="26"/>
                <w:lang w:val="en-US" w:eastAsia="zh-CN" w:bidi="ar"/>
              </w:rPr>
              <w:t>、血红蛋白浓度</w:t>
            </w:r>
            <w:r>
              <w:rPr>
                <w:rFonts w:hint="default" w:ascii="Times New Roman" w:hAnsi="Times New Roman" w:eastAsia="宋体" w:cs="Times New Roman"/>
                <w:i w:val="0"/>
                <w:iCs w:val="0"/>
                <w:color w:val="000000"/>
                <w:kern w:val="0"/>
                <w:sz w:val="20"/>
                <w:szCs w:val="20"/>
                <w:u w:val="none"/>
                <w:lang w:val="en-US" w:eastAsia="zh-CN" w:bidi="ar"/>
              </w:rPr>
              <w:t>≤5.0mg/mL</w:t>
            </w:r>
            <w:r>
              <w:rPr>
                <w:rStyle w:val="26"/>
                <w:lang w:val="en-US" w:eastAsia="zh-CN" w:bidi="ar"/>
              </w:rPr>
              <w:t>、胆红素浓度</w:t>
            </w:r>
            <w:r>
              <w:rPr>
                <w:rFonts w:hint="default" w:ascii="Times New Roman" w:hAnsi="Times New Roman" w:eastAsia="宋体" w:cs="Times New Roman"/>
                <w:i w:val="0"/>
                <w:iCs w:val="0"/>
                <w:color w:val="000000"/>
                <w:kern w:val="0"/>
                <w:sz w:val="20"/>
                <w:szCs w:val="20"/>
                <w:u w:val="none"/>
                <w:lang w:val="en-US" w:eastAsia="zh-CN" w:bidi="ar"/>
              </w:rPr>
              <w:t>≤0.3 mg/mL</w:t>
            </w:r>
            <w:r>
              <w:rPr>
                <w:rStyle w:val="26"/>
                <w:lang w:val="en-US" w:eastAsia="zh-CN" w:bidi="ar"/>
              </w:rPr>
              <w:t>、类风湿因子浓度</w:t>
            </w:r>
            <w:r>
              <w:rPr>
                <w:rFonts w:hint="default" w:ascii="Times New Roman" w:hAnsi="Times New Roman" w:eastAsia="宋体" w:cs="Times New Roman"/>
                <w:i w:val="0"/>
                <w:iCs w:val="0"/>
                <w:color w:val="000000"/>
                <w:kern w:val="0"/>
                <w:sz w:val="20"/>
                <w:szCs w:val="20"/>
                <w:u w:val="none"/>
                <w:lang w:val="en-US" w:eastAsia="zh-CN" w:bidi="ar"/>
              </w:rPr>
              <w:t>≤500 IU/mL</w:t>
            </w:r>
            <w:r>
              <w:rPr>
                <w:rStyle w:val="26"/>
                <w:lang w:val="en-US" w:eastAsia="zh-CN" w:bidi="ar"/>
              </w:rPr>
              <w:t>对测试结果没有影响；尿液中</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26"/>
                <w:lang w:val="en-US" w:eastAsia="zh-CN" w:bidi="ar"/>
              </w:rPr>
              <w:t>维生素</w:t>
            </w:r>
            <w:r>
              <w:rPr>
                <w:rFonts w:hint="default" w:ascii="Times New Roman" w:hAnsi="Times New Roman" w:eastAsia="宋体" w:cs="Times New Roman"/>
                <w:i w:val="0"/>
                <w:iCs w:val="0"/>
                <w:color w:val="000000"/>
                <w:kern w:val="0"/>
                <w:sz w:val="20"/>
                <w:szCs w:val="20"/>
                <w:u w:val="none"/>
                <w:lang w:val="en-US" w:eastAsia="zh-CN" w:bidi="ar"/>
              </w:rPr>
              <w:t>C≤5.0mg/mL</w:t>
            </w:r>
            <w:r>
              <w:rPr>
                <w:rStyle w:val="26"/>
                <w:lang w:val="en-US" w:eastAsia="zh-CN" w:bidi="ar"/>
              </w:rPr>
              <w:t>对测试结果没有影响。</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26"/>
                <w:lang w:val="en-US" w:eastAsia="zh-CN" w:bidi="ar"/>
              </w:rPr>
              <w:t>线性要求：试剂盒在</w:t>
            </w:r>
            <w:r>
              <w:rPr>
                <w:rFonts w:hint="default" w:ascii="Times New Roman" w:hAnsi="Times New Roman" w:eastAsia="宋体" w:cs="Times New Roman"/>
                <w:i w:val="0"/>
                <w:iCs w:val="0"/>
                <w:color w:val="000000"/>
                <w:kern w:val="0"/>
                <w:sz w:val="20"/>
                <w:szCs w:val="20"/>
                <w:u w:val="none"/>
                <w:lang w:val="en-US" w:eastAsia="zh-CN" w:bidi="ar"/>
              </w:rPr>
              <w:t xml:space="preserve">50 ng/mL ~ 5000.0 ng/mL </w:t>
            </w:r>
            <w:r>
              <w:rPr>
                <w:rStyle w:val="26"/>
                <w:lang w:val="en-US" w:eastAsia="zh-CN" w:bidi="ar"/>
              </w:rPr>
              <w:t>范围内，相关系数（</w:t>
            </w:r>
            <w:r>
              <w:rPr>
                <w:rFonts w:hint="default" w:ascii="Times New Roman" w:hAnsi="Times New Roman" w:eastAsia="宋体" w:cs="Times New Roman"/>
                <w:i w:val="0"/>
                <w:iCs w:val="0"/>
                <w:color w:val="000000"/>
                <w:kern w:val="0"/>
                <w:sz w:val="20"/>
                <w:szCs w:val="20"/>
                <w:u w:val="none"/>
                <w:lang w:val="en-US" w:eastAsia="zh-CN" w:bidi="ar"/>
              </w:rPr>
              <w:t>r</w:t>
            </w:r>
            <w:r>
              <w:rPr>
                <w:rStyle w:val="26"/>
                <w:lang w:val="en-US" w:eastAsia="zh-CN" w:bidi="ar"/>
              </w:rPr>
              <w:t>）不小于</w:t>
            </w:r>
            <w:r>
              <w:rPr>
                <w:rFonts w:hint="default" w:ascii="Times New Roman" w:hAnsi="Times New Roman" w:eastAsia="宋体" w:cs="Times New Roman"/>
                <w:i w:val="0"/>
                <w:iCs w:val="0"/>
                <w:color w:val="000000"/>
                <w:kern w:val="0"/>
                <w:sz w:val="20"/>
                <w:szCs w:val="20"/>
                <w:u w:val="none"/>
                <w:lang w:val="en-US" w:eastAsia="zh-CN" w:bidi="ar"/>
              </w:rPr>
              <w:t>0.990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26"/>
                <w:lang w:val="en-US" w:eastAsia="zh-CN" w:bidi="ar"/>
              </w:rPr>
              <w:t>重复性要求：变异系数</w:t>
            </w:r>
            <w:r>
              <w:rPr>
                <w:rFonts w:hint="default" w:ascii="Times New Roman" w:hAnsi="Times New Roman" w:eastAsia="宋体" w:cs="Times New Roman"/>
                <w:i w:val="0"/>
                <w:iCs w:val="0"/>
                <w:color w:val="000000"/>
                <w:kern w:val="0"/>
                <w:sz w:val="20"/>
                <w:szCs w:val="20"/>
                <w:u w:val="none"/>
                <w:lang w:val="en-US" w:eastAsia="zh-CN" w:bidi="ar"/>
              </w:rPr>
              <w:t>CV≤ 10.0%</w:t>
            </w:r>
            <w:r>
              <w:rPr>
                <w:rStyle w:val="26"/>
                <w:lang w:val="en-US" w:eastAsia="zh-CN" w:bidi="ar"/>
              </w:rPr>
              <w:t>。批间差：变异系数</w:t>
            </w:r>
            <w:r>
              <w:rPr>
                <w:rFonts w:hint="default" w:ascii="Times New Roman" w:hAnsi="Times New Roman" w:eastAsia="宋体" w:cs="Times New Roman"/>
                <w:i w:val="0"/>
                <w:iCs w:val="0"/>
                <w:color w:val="000000"/>
                <w:kern w:val="0"/>
                <w:sz w:val="20"/>
                <w:szCs w:val="20"/>
                <w:u w:val="none"/>
                <w:lang w:val="en-US" w:eastAsia="zh-CN" w:bidi="ar"/>
              </w:rPr>
              <w:t>CV≤ 15.0%</w:t>
            </w:r>
            <w:r>
              <w:rPr>
                <w:rStyle w:val="26"/>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Style w:val="26"/>
                <w:lang w:val="en-US" w:eastAsia="zh-CN" w:bidi="ar"/>
              </w:rPr>
              <w:t>孵育时间：</w:t>
            </w:r>
            <w:r>
              <w:rPr>
                <w:rFonts w:hint="default" w:ascii="Times New Roman" w:hAnsi="Times New Roman" w:eastAsia="宋体" w:cs="Times New Roman"/>
                <w:i w:val="0"/>
                <w:iCs w:val="0"/>
                <w:color w:val="000000"/>
                <w:kern w:val="0"/>
                <w:sz w:val="20"/>
                <w:szCs w:val="20"/>
                <w:u w:val="none"/>
                <w:lang w:val="en-US" w:eastAsia="zh-CN" w:bidi="ar"/>
              </w:rPr>
              <w:t>≤15min</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Style w:val="26"/>
                <w:lang w:val="en-US" w:eastAsia="zh-CN" w:bidi="ar"/>
              </w:rPr>
              <w:t>新的急性肾损伤早期指标，已列入</w:t>
            </w:r>
            <w:r>
              <w:rPr>
                <w:rFonts w:hint="default" w:ascii="Times New Roman" w:hAnsi="Times New Roman" w:eastAsia="宋体" w:cs="Times New Roman"/>
                <w:i w:val="0"/>
                <w:iCs w:val="0"/>
                <w:color w:val="000000"/>
                <w:kern w:val="0"/>
                <w:sz w:val="20"/>
                <w:szCs w:val="20"/>
                <w:u w:val="none"/>
                <w:lang w:val="en-US" w:eastAsia="zh-CN" w:bidi="ar"/>
              </w:rPr>
              <w:t>2009</w:t>
            </w:r>
            <w:r>
              <w:rPr>
                <w:rStyle w:val="26"/>
                <w:lang w:val="en-US" w:eastAsia="zh-CN" w:bidi="ar"/>
              </w:rPr>
              <w:t>版卫生部急性肾损伤临床路径。</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7B8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6DFDB2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2B8A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EF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C9E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冲洗液</w:t>
            </w:r>
          </w:p>
        </w:tc>
        <w:tc>
          <w:tcPr>
            <w:tcW w:w="25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432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分析pH、pO</w:t>
            </w:r>
            <w:r>
              <w:rPr>
                <w:rStyle w:val="28"/>
                <w:lang w:val="en-US" w:eastAsia="zh-CN" w:bidi="ar"/>
              </w:rPr>
              <w:t>2</w:t>
            </w:r>
            <w:r>
              <w:rPr>
                <w:rStyle w:val="26"/>
                <w:lang w:val="en-US" w:eastAsia="zh-CN" w:bidi="ar"/>
              </w:rPr>
              <w:t>、pCO</w:t>
            </w:r>
            <w:r>
              <w:rPr>
                <w:rStyle w:val="28"/>
                <w:lang w:val="en-US" w:eastAsia="zh-CN" w:bidi="ar"/>
              </w:rPr>
              <w:t>2</w:t>
            </w:r>
            <w:r>
              <w:rPr>
                <w:rStyle w:val="26"/>
                <w:lang w:val="en-US" w:eastAsia="zh-CN" w:bidi="ar"/>
              </w:rPr>
              <w:t>，Na</w:t>
            </w:r>
            <w:r>
              <w:rPr>
                <w:rStyle w:val="29"/>
                <w:lang w:val="en-US" w:eastAsia="zh-CN" w:bidi="ar"/>
              </w:rPr>
              <w:t>+</w:t>
            </w:r>
            <w:r>
              <w:rPr>
                <w:rStyle w:val="26"/>
                <w:lang w:val="en-US" w:eastAsia="zh-CN" w:bidi="ar"/>
              </w:rPr>
              <w:t>、K</w:t>
            </w:r>
            <w:r>
              <w:rPr>
                <w:rStyle w:val="29"/>
                <w:lang w:val="en-US" w:eastAsia="zh-CN" w:bidi="ar"/>
              </w:rPr>
              <w:t>+</w:t>
            </w:r>
            <w:r>
              <w:rPr>
                <w:rStyle w:val="26"/>
                <w:lang w:val="en-US" w:eastAsia="zh-CN" w:bidi="ar"/>
              </w:rPr>
              <w:t>、Ca</w:t>
            </w:r>
            <w:r>
              <w:rPr>
                <w:rStyle w:val="29"/>
                <w:lang w:val="en-US" w:eastAsia="zh-CN" w:bidi="ar"/>
              </w:rPr>
              <w:t>2+</w:t>
            </w:r>
            <w:r>
              <w:rPr>
                <w:rStyle w:val="26"/>
                <w:lang w:val="en-US" w:eastAsia="zh-CN" w:bidi="ar"/>
              </w:rPr>
              <w:t>、Cl</w:t>
            </w:r>
            <w:r>
              <w:rPr>
                <w:rStyle w:val="29"/>
                <w:lang w:val="en-US" w:eastAsia="zh-CN" w:bidi="ar"/>
              </w:rPr>
              <w:t>-</w:t>
            </w:r>
            <w:r>
              <w:rPr>
                <w:rStyle w:val="26"/>
                <w:lang w:val="en-US" w:eastAsia="zh-CN" w:bidi="ar"/>
              </w:rPr>
              <w:t xml:space="preserve"> 、Lac、sO2, ctHb, FO2Hb, FCOHb, FMetHb, FHHb, FHbF，Glu，tBil等测量参数，用以诊断患者的酸碱平衡及血氧代谢物等数值，快速、直观判别患者体内的呼吸、代谢情况</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97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Style w:val="30"/>
                <w:lang w:val="en-US" w:eastAsia="zh-CN" w:bidi="ar"/>
              </w:rPr>
              <w:t>冲洗液用途</w:t>
            </w:r>
            <w:r>
              <w:rPr>
                <w:rStyle w:val="31"/>
                <w:rFonts w:eastAsia="宋体"/>
                <w:lang w:val="en-US" w:eastAsia="zh-CN" w:bidi="ar"/>
              </w:rPr>
              <w:t>:</w:t>
            </w:r>
            <w:r>
              <w:rPr>
                <w:rStyle w:val="30"/>
                <w:lang w:val="en-US" w:eastAsia="zh-CN" w:bidi="ar"/>
              </w:rPr>
              <w:t>用于自动冲洗</w:t>
            </w:r>
            <w:r>
              <w:rPr>
                <w:rStyle w:val="31"/>
                <w:rFonts w:eastAsia="宋体"/>
                <w:lang w:val="en-US" w:eastAsia="zh-CN" w:bidi="ar"/>
              </w:rPr>
              <w:t>ABL800</w:t>
            </w:r>
            <w:r>
              <w:rPr>
                <w:rStyle w:val="30"/>
                <w:lang w:val="en-US" w:eastAsia="zh-CN" w:bidi="ar"/>
              </w:rPr>
              <w:t>分析仪中的测量系统</w:t>
            </w:r>
            <w:r>
              <w:rPr>
                <w:rStyle w:val="31"/>
                <w:rFonts w:eastAsia="宋体"/>
                <w:lang w:val="en-US" w:eastAsia="zh-CN" w:bidi="ar"/>
              </w:rPr>
              <w:t>:</w:t>
            </w:r>
            <w:r>
              <w:rPr>
                <w:rStyle w:val="31"/>
                <w:rFonts w:eastAsia="宋体"/>
                <w:lang w:val="en-US" w:eastAsia="zh-CN" w:bidi="ar"/>
              </w:rPr>
              <w:br w:type="textWrapping"/>
            </w:r>
            <w:r>
              <w:rPr>
                <w:rStyle w:val="31"/>
                <w:rFonts w:eastAsia="宋体"/>
                <w:lang w:val="en-US" w:eastAsia="zh-CN" w:bidi="ar"/>
              </w:rPr>
              <w:t>2</w:t>
            </w:r>
            <w:r>
              <w:rPr>
                <w:rStyle w:val="30"/>
                <w:lang w:val="en-US" w:eastAsia="zh-CN" w:bidi="ar"/>
              </w:rPr>
              <w:t>主要成分</w:t>
            </w:r>
            <w:r>
              <w:rPr>
                <w:rStyle w:val="31"/>
                <w:rFonts w:eastAsia="宋体"/>
                <w:lang w:val="en-US" w:eastAsia="zh-CN" w:bidi="ar"/>
              </w:rPr>
              <w:t xml:space="preserve">: </w:t>
            </w:r>
            <w:r>
              <w:rPr>
                <w:rStyle w:val="30"/>
                <w:lang w:val="en-US" w:eastAsia="zh-CN" w:bidi="ar"/>
              </w:rPr>
              <w:t>盐、缓冲液、抗凝剂、防腐剂、表面活性剂和酶。</w:t>
            </w:r>
            <w:r>
              <w:rPr>
                <w:rStyle w:val="31"/>
                <w:rFonts w:eastAsia="宋体"/>
                <w:lang w:val="en-US" w:eastAsia="zh-CN" w:bidi="ar"/>
              </w:rPr>
              <w:br w:type="textWrapping"/>
            </w:r>
            <w:r>
              <w:rPr>
                <w:rStyle w:val="31"/>
                <w:rFonts w:eastAsia="宋体"/>
                <w:lang w:val="en-US" w:eastAsia="zh-CN" w:bidi="ar"/>
              </w:rPr>
              <w:t xml:space="preserve">3. </w:t>
            </w:r>
            <w:r>
              <w:rPr>
                <w:rStyle w:val="30"/>
                <w:lang w:val="en-US" w:eastAsia="zh-CN" w:bidi="ar"/>
              </w:rPr>
              <w:t>储存条件</w:t>
            </w:r>
            <w:r>
              <w:rPr>
                <w:rStyle w:val="31"/>
                <w:rFonts w:eastAsia="宋体"/>
                <w:lang w:val="en-US" w:eastAsia="zh-CN" w:bidi="ar"/>
              </w:rPr>
              <w:t>: 2-32°C</w:t>
            </w:r>
            <w:r>
              <w:rPr>
                <w:rStyle w:val="31"/>
                <w:rFonts w:eastAsia="宋体"/>
                <w:lang w:val="en-US" w:eastAsia="zh-CN" w:bidi="ar"/>
              </w:rPr>
              <w:br w:type="textWrapping"/>
            </w:r>
            <w:r>
              <w:rPr>
                <w:rStyle w:val="31"/>
                <w:rFonts w:eastAsia="宋体"/>
                <w:lang w:val="en-US" w:eastAsia="zh-CN" w:bidi="ar"/>
              </w:rPr>
              <w:t xml:space="preserve">4. </w:t>
            </w:r>
            <w:r>
              <w:rPr>
                <w:rStyle w:val="30"/>
                <w:lang w:val="en-US" w:eastAsia="zh-CN" w:bidi="ar"/>
              </w:rPr>
              <w:t>规格容量</w:t>
            </w:r>
            <w:r>
              <w:rPr>
                <w:rStyle w:val="31"/>
                <w:rFonts w:eastAsia="宋体"/>
                <w:lang w:val="en-US" w:eastAsia="zh-CN" w:bidi="ar"/>
              </w:rPr>
              <w:t>: 600ml/</w:t>
            </w:r>
            <w:r>
              <w:rPr>
                <w:rStyle w:val="30"/>
                <w:lang w:val="en-US" w:eastAsia="zh-CN" w:bidi="ar"/>
              </w:rPr>
              <w:t>瓶</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DD1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2959EC12">
            <w:pPr>
              <w:keepNext w:val="0"/>
              <w:keepLines w:val="0"/>
              <w:suppressLineNumbers w:val="0"/>
              <w:tabs>
                <w:tab w:val="left" w:pos="355"/>
              </w:tabs>
              <w:spacing w:before="0" w:beforeAutospacing="0" w:after="0" w:afterAutospacing="0"/>
              <w:ind w:left="0" w:right="0"/>
              <w:jc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可与血气分析仪ABL800FLEX配套使用</w:t>
            </w:r>
          </w:p>
        </w:tc>
      </w:tr>
      <w:tr w14:paraId="25225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E6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63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血气、电解质、代谢物定标液（定标液1）</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5F3C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CF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1产品用途：配套ABL800FLEX血气分析仪，对PH值、钾离子（K+）、钠离子（Na+）钙离子（Ca+)、氯离子（Cl)、葡萄糖（Glu)、乳酸（Lac)定量检测项目检测时进行定标。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主要成分：PH(7.40)、K+(4mmol/L)、Na+(145mmol/L)Ca+(1.25mmol/L)、Cl（102mmol/L)、Glu（10mmol/L)、Lac(4mmol/L)、缓冲液（HEPES)、防腐剂（2-甲基-2异噻唑-3酮和二唑烷基脲），表面活性剂。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储存条件：2-25°C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4.有效期：≥16个月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5容量：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200ml/瓶</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CBBB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4AD321D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D76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AC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48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血气、电解质、代谢物定标液（定标液2）</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44EE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63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1产品用途：配套ABL800FLEX血气分析仪，对PH值、钾离子（K+）、钠离子（Na+）钙离子（Ca+)、氯离子（Cl)、葡萄糖（Glu)、乳酸（Lac)定量检测项目检测时进行定标。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主要成分：PH(6.9)、K+(40mmol/L)、Na+(20mmol/L)Ca+(5mmol/L)、Cl（50mmol/L)、缓冲液（HEPES)、防腐剂（2-甲基-2异噻唑-3酮和二唑烷基脲），表面活性剂。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储存条件：2-25°C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4.有效期：≥24个月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5容量：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200ml/瓶</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0135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0F8FF48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4C6CF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32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C8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带添加剂的清洁液</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EC8B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A8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1.产品用途：用于深度清洁ABL800分析仪中的测量系统。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2.主要成分：盐、缓冲液、抗凝剂、防腐剂、表面活性剂和酶。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3.上机效期：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4容量：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175ml/瓶</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5AB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4D22BB8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6EA88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28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76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一次性使用人体动脉血样采集器(956-613)</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9AB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3F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1产品用途：配套ABL800FLEX血气分析仪自动进样，对PH值、钾离子（K+）、钠离子（Na+）钙离子（Ca+)、氯离子（Cl)、葡萄糖（Glu)、乳酸（Lac)定量检测项目检测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2.针径要求： ≤22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针长要求: ≤25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采样量要求：≤1.5ml，最低采样量≥0.7ml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5.抗凝剂要求：全阳离子平衡干肝素，不会稀释血液，不结合阳离子，保证离子结果精确无误；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排气功能要求：带有单向排气帽，排气过程不接触血液，减少接触血液风险，避免气溶胶传播，保护医护人员；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7混匀功能要求：配备有镀金混匀球，无需揉搓轻松即可完成混匀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8.保质期要求：≥12个月</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EE3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6C79154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13C53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9F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F2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一次性使用人体动脉血样采集器(956-616)</w:t>
            </w:r>
          </w:p>
        </w:tc>
        <w:tc>
          <w:tcPr>
            <w:tcW w:w="2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FBEF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69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1产品用途：配套ABL800FLEX血气分析仪自动进样，对PH值、钾离子（K+）、钠离子（Na+）钙离子（Ca+)、氯离子（Cl)、葡萄糖（Glu)、乳酸（Lac)定量检测项目检测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2.针径要求： ≤23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针长要求: ≤25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采样量要求：≤1.5ml，最低采样量≥0.7ml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5.抗凝剂要求：全阳离子平衡干肝素，不会稀释血液，不结合阳离子，保证离子结果精确无误；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排气功能要求：带有单向排气帽，排气过程不接触血液，减少接触血液风险，避免气溶胶传播，保护医护人员；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7混匀功能要求：配备有镀金混匀球，无需揉搓轻松即可完成混匀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8.保质期要求：≥12个月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9.防护功能要求：配360度防针刺保护套，操作简单，有效防止针刺伤避免血液外贱。</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874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3FE9AF6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1AE3F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AE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65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六项细胞因子检测试剂盒（流式荧光发光法）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45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通过检测血清或血浆样本中白细胞介素-2（IL-2）、白细胞介素-4 (IL-4)、白细胞介素-6(IL-6)、白细胞介素-10(IL-10)、肿瘤坏死因子-α(TNF-α) 、干扰素-α(IFN-α) 和干扰素-γ(IFN-γ)共六项细胞因子的表达，为医师提供诊断的辅助信息。</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586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1.方法学：流式荧光发光法；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2.本试剂盒应于2℃~8℃环境下保存，防止冷冻，有效期为≤12个月；试剂开瓶后，于2℃~8℃环境下有效期≤1个月；校准品和质控品2℃~8℃环境下保存，有效期≤12个月，复溶后12小时内使用。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3.新批次试剂盒在初次使用前必须使用校准品对检测系统进行校准，无需每次校准，本试剂盒中校准曲线经量值传递具有溯源性。IL-2 溯源至中国食品药品检定研究院标准270008,IL-6溯源至NIBSC，NIBSC  Code:89/548;其他指标溯源至企业标准。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4.样本量：≤25μL；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5.线性要求：试剂盒在1.5pg/mL ~ 5000 pg/mL区间内，其相关系数（r）≥0.9900；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6.重复性要求：变异系数CV≤10%，批间差：变异系数CV≤15%；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7.首个样本检出时间为≤1h；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8.规格：96人份/盒，48人份/盒；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9.评估免疫系统平衡，驱动疾病诊断、靶向治疗及预后判断的精准医疗决策。</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BCA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19989B6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可与流式点阵发光分析仪iMatrix 100配套使用</w:t>
            </w:r>
          </w:p>
        </w:tc>
      </w:tr>
      <w:tr w14:paraId="40C2C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F4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D1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八项细胞因子检测试剂盒（流式荧光发光法）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CF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通过检测血清或血浆样本中白细胞介素-1β（IL-1β）、白细胞介素-2（IL-2）、白细胞介素-4 (IL-4) 、白细胞介素-6(IL-6)、 白细胞介素-8(IL-8)、 白细胞介素-10(IL-10)、肿瘤坏死因子-α(TNF-α)  和干扰素-γ(IFN-γ) 共八项细胞因子的表达，为医师提供诊断的辅助信息。</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CA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1.方法学：流式荧光发光法；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2.本试剂盒应于2℃~8℃环境下保存，防止冷冻，有效期为≤12个月；试剂开瓶后，于2℃~8℃环境下有效期≤1个月；校准品和质控品2℃~8℃环境下保存，有效期≤12个月，复溶后12小时内使用。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3.新批次试剂盒在初次使用前必须使用校准品对检测系统进行校准，无需每次校准，本试剂盒中校准曲线经量值传递具有溯源性。IL-2 溯源至中国食品药品检定研究院标准270008,IL-6溯源至NIBSC, NIBSC  Code:89/548;其他指标溯源至企业标准。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4.样本量：≤25μL；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5.线性要求：试剂盒在1.5pg/mL ~ 5000 pg/mL区间内，其相关系数（r）≥0.9900；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6.重复性要求：变异系数CV≤10%，批间差：变异系数CV≤15%；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7.首个样本检出时间为≤1h；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8.规格：96人份/盒，48人份/盒；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9.评估免疫系统平衡，驱动疾病诊断、靶向治疗及预后判断的精准医疗决策。</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041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right w:val="single" w:color="000000" w:sz="4" w:space="0"/>
            </w:tcBorders>
            <w:shd w:val="clear" w:color="auto" w:fill="auto"/>
            <w:noWrap/>
            <w:vAlign w:val="center"/>
          </w:tcPr>
          <w:p w14:paraId="00469FB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r w14:paraId="59C2E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6"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E9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10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十二项细胞因子测定试剂盒（流式荧光发光法）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DB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通过检测血清或血浆样本中白细胞介素-1β（IL-1β）、白细胞介素-2（IL-2）、白细胞介素-4 (IL-4) 、白细胞 介素-5(IL-5)、 白细胞介素-6(IL-6)、 白细胞介素-8(IL-8)、 白细胞介素-10(IL-10)、白细胞介素-12p70(IL-12p70)、 白细胞介素-17(IL-17) 、肿瘤坏死因子-α(TNF-α) 、干扰素-α(IFN-α) 和干扰素-γ(IFN-γ) 共十二项细胞因子的表达，为医师提供诊断的辅助信息。</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41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1.方法学：流式荧光发光法；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2.本试剂盒应于2℃~8℃环境下保存，防止冷冻，有效期为≤12个月；试剂开瓶后，于2℃~8℃环境下有效期≤1个月；校准品和质控品2℃~8℃环境下保存，有效期≤12个月，复溶后12小时内使用。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3.新批次试剂盒在初次使用前必须使用校准品对检测系统进行校准，无需每次校准，本试剂盒中校准曲线经量值传递具有溯源性。IL-2溯源至中国食品药品检定研究院标准270008,IL-6溯源至NIBSC, NIBSC Code: 89/548;其他指标溯源至企业标准。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4.样本量为≤25μL；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5.线性要求：试剂盒在1.5pg/mL ~ 5000 pg/mL区间内，其相关系数（r）≥0.9900；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6.重复性要求：变异系数CV≤10%，批间差：变异系数CV≤15%；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7.首个样本检出时间为≤1h；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8.规格：96人份/盒，48人份/盒；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9.评估免疫系统平衡，驱动疾病诊断、靶向治疗及预后判断的精准医疗决策。</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4829">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550DAE9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0"/>
                <w:szCs w:val="20"/>
                <w:u w:val="none"/>
              </w:rPr>
            </w:pPr>
          </w:p>
        </w:tc>
      </w:tr>
    </w:tbl>
    <w:p w14:paraId="5D90FF38">
      <w:pPr>
        <w:pStyle w:val="13"/>
        <w:numPr>
          <w:ilvl w:val="0"/>
          <w:numId w:val="0"/>
        </w:numPr>
        <w:rPr>
          <w:rFonts w:hint="eastAsia"/>
          <w:lang w:val="en-US" w:eastAsia="zh-CN"/>
        </w:rPr>
      </w:pPr>
    </w:p>
    <w:p w14:paraId="4A57D877">
      <w:pPr>
        <w:pStyle w:val="4"/>
        <w:numPr>
          <w:ilvl w:val="0"/>
          <w:numId w:val="0"/>
        </w:numPr>
        <w:adjustRightInd w:val="0"/>
        <w:snapToGrid w:val="0"/>
        <w:spacing w:before="0" w:after="0" w:line="400" w:lineRule="exact"/>
        <w:rPr>
          <w:rFonts w:hint="eastAsia" w:ascii="方正仿宋_GBK" w:hAnsi="宋体" w:eastAsia="方正仿宋_GBK"/>
          <w:sz w:val="24"/>
        </w:rPr>
      </w:pPr>
      <w:r>
        <w:rPr>
          <w:rFonts w:hint="eastAsia" w:ascii="方正仿宋_GBK" w:hAnsi="宋体" w:eastAsia="方正仿宋_GBK"/>
          <w:sz w:val="24"/>
          <w:lang w:val="en-US" w:eastAsia="zh-CN"/>
        </w:rPr>
        <w:t>二、</w:t>
      </w:r>
      <w:r>
        <w:rPr>
          <w:rFonts w:hint="eastAsia" w:ascii="方正仿宋_GBK" w:hAnsi="宋体" w:eastAsia="方正仿宋_GBK"/>
          <w:sz w:val="24"/>
        </w:rPr>
        <w:t>其他要求</w:t>
      </w:r>
    </w:p>
    <w:p w14:paraId="7EE3D30D">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一）</w:t>
      </w:r>
      <w:r>
        <w:rPr>
          <w:rFonts w:hint="eastAsia" w:ascii="方正仿宋_GBK" w:hAnsi="宋体" w:eastAsia="方正仿宋_GBK"/>
          <w:sz w:val="24"/>
          <w:lang w:eastAsia="zh-CN"/>
        </w:rPr>
        <w:t>供应商</w:t>
      </w:r>
      <w:r>
        <w:rPr>
          <w:rFonts w:hint="eastAsia" w:ascii="方正仿宋_GBK" w:hAnsi="宋体" w:eastAsia="方正仿宋_GBK"/>
          <w:sz w:val="24"/>
        </w:rPr>
        <w:t>向</w:t>
      </w:r>
      <w:r>
        <w:rPr>
          <w:rFonts w:hint="eastAsia" w:ascii="方正仿宋_GBK" w:hAnsi="宋体" w:eastAsia="方正仿宋_GBK"/>
          <w:sz w:val="24"/>
          <w:lang w:eastAsia="zh-CN"/>
        </w:rPr>
        <w:t>采购人</w:t>
      </w:r>
      <w:r>
        <w:rPr>
          <w:rFonts w:hint="eastAsia" w:ascii="方正仿宋_GBK" w:hAnsi="宋体" w:eastAsia="方正仿宋_GBK"/>
          <w:sz w:val="24"/>
        </w:rPr>
        <w:t>提供的所有资质证明必须合法有效，到期后应主动续期或更换，否则</w:t>
      </w:r>
      <w:r>
        <w:rPr>
          <w:rFonts w:hint="eastAsia" w:ascii="方正仿宋_GBK" w:hAnsi="宋体" w:eastAsia="方正仿宋_GBK"/>
          <w:sz w:val="24"/>
          <w:lang w:eastAsia="zh-CN"/>
        </w:rPr>
        <w:t>采购人</w:t>
      </w:r>
      <w:r>
        <w:rPr>
          <w:rFonts w:hint="eastAsia" w:ascii="方正仿宋_GBK" w:hAnsi="宋体" w:eastAsia="方正仿宋_GBK"/>
          <w:sz w:val="24"/>
        </w:rPr>
        <w:t>有权利终止合同。</w:t>
      </w:r>
    </w:p>
    <w:p w14:paraId="27CBA09E">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二）合同有效期内，若因上级主管部门要求采购人对合同标的同类产品进行遴选采购，或政府要求进行集中采购招标的，招标结束并重新签订购销合同后，本合同自行提前终止</w:t>
      </w:r>
      <w:r>
        <w:rPr>
          <w:rFonts w:hint="eastAsia" w:ascii="方正仿宋_GBK" w:hAnsi="宋体" w:eastAsia="方正仿宋_GBK"/>
          <w:sz w:val="24"/>
        </w:rPr>
        <w:t>。</w:t>
      </w:r>
    </w:p>
    <w:p w14:paraId="1956E19F">
      <w:pPr>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（三）供应商</w:t>
      </w:r>
      <w:r>
        <w:rPr>
          <w:rFonts w:hint="default" w:ascii="方正仿宋_GBK" w:hAnsi="宋体" w:eastAsia="方正仿宋_GBK"/>
          <w:sz w:val="24"/>
          <w:lang w:val="en-US" w:eastAsia="zh-CN"/>
        </w:rPr>
        <w:t>承诺</w:t>
      </w:r>
      <w:r>
        <w:rPr>
          <w:rFonts w:hint="eastAsia" w:ascii="方正仿宋_GBK" w:hAnsi="宋体" w:eastAsia="方正仿宋_GBK"/>
          <w:sz w:val="24"/>
          <w:lang w:val="en-US" w:eastAsia="zh-CN"/>
        </w:rPr>
        <w:t>报价</w:t>
      </w:r>
      <w:r>
        <w:rPr>
          <w:rFonts w:hint="default" w:ascii="方正仿宋_GBK" w:hAnsi="宋体" w:eastAsia="方正仿宋_GBK"/>
          <w:sz w:val="24"/>
          <w:lang w:val="en-US" w:eastAsia="zh-CN"/>
        </w:rPr>
        <w:t>为全国</w:t>
      </w:r>
      <w:r>
        <w:rPr>
          <w:rFonts w:hint="default" w:ascii="方正仿宋_GBK" w:hAnsi="宋体" w:eastAsia="方正仿宋_GBK"/>
          <w:sz w:val="24"/>
          <w:lang w:val="en-US" w:eastAsia="zh-CN"/>
        </w:rPr>
        <w:sym w:font="Wingdings 2" w:char="00A3"/>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sym w:font="Wingdings 2" w:char="00A3"/>
      </w:r>
      <w:r>
        <w:rPr>
          <w:rFonts w:hint="default" w:ascii="方正仿宋_GBK" w:hAnsi="宋体" w:eastAsia="方正仿宋_GBK"/>
          <w:sz w:val="24"/>
          <w:lang w:val="en-US" w:eastAsia="zh-CN"/>
        </w:rPr>
        <w:t>（至少需勾选一项）最低价，合同有效期内，因政策或市场变化合同标的单价降低的，</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应及时出具降价函，经</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确认后，双方按降价后的单价执行。若非全国/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有权单方面终止合同，对降价后已送货未结算的产品，与</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按全国/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最低价结算；对降价后已送货且完成结算的产品，</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应退回结算差价。</w:t>
      </w:r>
    </w:p>
    <w:p w14:paraId="628F6A46">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val="en-US" w:eastAsia="zh-CN"/>
        </w:rPr>
        <w:t>（四）合同有效期内，供应商不得擅自变更合同主体（含转让、并购导致主体变更等）；如需变更，须提前书面征得采购人同意，否则采购人有权解除合同，供应商赔偿因此造成的一切损失。</w:t>
      </w:r>
    </w:p>
    <w:p w14:paraId="7D24EAC4">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（五</w:t>
      </w:r>
      <w:r>
        <w:rPr>
          <w:rFonts w:hint="eastAsia" w:ascii="方正仿宋_GBK" w:hAnsi="宋体" w:eastAsia="方正仿宋_GBK"/>
          <w:sz w:val="24"/>
          <w:lang w:val="en-US" w:eastAsia="zh-CN"/>
        </w:rPr>
        <w:t>）</w:t>
      </w:r>
      <w:r>
        <w:rPr>
          <w:rFonts w:hint="eastAsia" w:ascii="方正仿宋_GBK" w:hAnsi="宋体" w:eastAsia="方正仿宋_GBK"/>
          <w:sz w:val="24"/>
        </w:rPr>
        <w:t>其他违约责任：按合同约定执行。</w:t>
      </w:r>
    </w:p>
    <w:p w14:paraId="170BB2E3">
      <w:pPr>
        <w:pStyle w:val="13"/>
        <w:rPr>
          <w:rFonts w:hint="eastAsia" w:ascii="方正仿宋_GBK" w:hAnsi="宋体" w:eastAsia="方正仿宋_GBK"/>
          <w:sz w:val="24"/>
        </w:rPr>
      </w:pPr>
    </w:p>
    <w:p w14:paraId="21233C7C">
      <w:pPr>
        <w:pStyle w:val="13"/>
        <w:rPr>
          <w:rFonts w:hint="eastAsia" w:ascii="方正仿宋_GBK" w:hAnsi="宋体" w:eastAsia="方正仿宋_GBK"/>
          <w:sz w:val="24"/>
        </w:rPr>
      </w:pPr>
    </w:p>
    <w:p w14:paraId="4517EFD8">
      <w:pPr>
        <w:pStyle w:val="13"/>
        <w:rPr>
          <w:rFonts w:hint="eastAsia" w:ascii="方正仿宋_GBK" w:hAnsi="宋体" w:eastAsia="方正仿宋_GBK"/>
          <w:sz w:val="24"/>
        </w:rPr>
      </w:pPr>
    </w:p>
    <w:p w14:paraId="5269E573">
      <w:pPr>
        <w:pStyle w:val="13"/>
        <w:rPr>
          <w:rFonts w:hint="eastAsia" w:ascii="方正仿宋_GBK" w:hAnsi="宋体" w:eastAsia="方正仿宋_GBK"/>
          <w:sz w:val="24"/>
        </w:rPr>
      </w:pPr>
    </w:p>
    <w:p w14:paraId="710F6935">
      <w:pPr>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br w:type="page"/>
      </w:r>
    </w:p>
    <w:p w14:paraId="4AF6C410">
      <w:pPr>
        <w:pStyle w:val="8"/>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t>评审程序及方法</w:t>
      </w:r>
    </w:p>
    <w:p w14:paraId="4470C179">
      <w:pPr>
        <w:pStyle w:val="4"/>
        <w:numPr>
          <w:ilvl w:val="0"/>
          <w:numId w:val="4"/>
        </w:numPr>
        <w:adjustRightInd w:val="0"/>
        <w:snapToGrid w:val="0"/>
        <w:spacing w:before="0" w:after="0" w:line="400" w:lineRule="exact"/>
        <w:rPr>
          <w:rFonts w:hint="eastAsia" w:ascii="方正仿宋_GBK" w:hAnsi="宋体" w:eastAsia="方正仿宋_GBK"/>
          <w:sz w:val="24"/>
          <w:lang w:val="en-US" w:eastAsia="zh-CN"/>
        </w:rPr>
      </w:pPr>
      <w:r>
        <w:rPr>
          <w:rFonts w:hint="eastAsia" w:ascii="方正仿宋_GBK" w:hAnsi="宋体" w:eastAsia="方正仿宋_GBK"/>
          <w:sz w:val="24"/>
          <w:lang w:val="en-US" w:eastAsia="zh-CN"/>
        </w:rPr>
        <w:t>资格初审</w:t>
      </w:r>
    </w:p>
    <w:p w14:paraId="1FD9E35B">
      <w:pPr>
        <w:pStyle w:val="4"/>
        <w:numPr>
          <w:ilvl w:val="0"/>
          <w:numId w:val="0"/>
        </w:numPr>
        <w:adjustRightInd w:val="0"/>
        <w:snapToGrid w:val="0"/>
        <w:spacing w:before="0" w:after="0" w:line="400" w:lineRule="exact"/>
        <w:ind w:firstLine="480" w:firstLineChars="200"/>
        <w:rPr>
          <w:rFonts w:hint="eastAsia" w:ascii="方正仿宋_GBK" w:hAnsi="宋体" w:eastAsia="方正仿宋_GBK" w:cstheme="minorBidi"/>
          <w:b w:val="0"/>
          <w:kern w:val="2"/>
          <w:sz w:val="24"/>
          <w:szCs w:val="24"/>
          <w:lang w:val="en-US" w:eastAsia="zh-CN" w:bidi="ar-SA"/>
        </w:rPr>
      </w:pPr>
      <w:r>
        <w:rPr>
          <w:rFonts w:hint="eastAsia" w:ascii="方正仿宋_GBK" w:hAnsi="宋体" w:eastAsia="方正仿宋_GBK" w:cstheme="minorBidi"/>
          <w:b w:val="0"/>
          <w:kern w:val="2"/>
          <w:sz w:val="24"/>
          <w:szCs w:val="24"/>
          <w:lang w:val="en-US" w:eastAsia="zh-CN" w:bidi="ar-SA"/>
        </w:rPr>
        <w:t>（一）资格条件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87"/>
        <w:gridCol w:w="3295"/>
        <w:gridCol w:w="4807"/>
      </w:tblGrid>
      <w:tr w14:paraId="7E23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70" w:type="dxa"/>
            <w:tcBorders>
              <w:tl2br w:val="nil"/>
              <w:tr2bl w:val="nil"/>
            </w:tcBorders>
            <w:noWrap w:val="0"/>
            <w:vAlign w:val="center"/>
          </w:tcPr>
          <w:p w14:paraId="5DCB619E">
            <w:pPr>
              <w:keepNext w:val="0"/>
              <w:keepLines w:val="0"/>
              <w:pageBreakBefore w:val="0"/>
              <w:suppressLineNumbers w:val="0"/>
              <w:kinsoku/>
              <w:overflowPunct/>
              <w:bidi w:val="0"/>
              <w:spacing w:before="0" w:beforeAutospacing="0" w:after="0" w:afterAutospacing="0" w:line="400" w:lineRule="exact"/>
              <w:ind w:left="0" w:right="0"/>
              <w:jc w:val="both"/>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Hans" w:bidi="ar-SA"/>
              </w:rPr>
              <w:t>序号</w:t>
            </w:r>
          </w:p>
        </w:tc>
        <w:tc>
          <w:tcPr>
            <w:tcW w:w="3982" w:type="dxa"/>
            <w:gridSpan w:val="2"/>
            <w:tcBorders>
              <w:tl2br w:val="nil"/>
              <w:tr2bl w:val="nil"/>
            </w:tcBorders>
            <w:noWrap w:val="0"/>
            <w:vAlign w:val="center"/>
          </w:tcPr>
          <w:p w14:paraId="1A0A99BE">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CN" w:bidi="ar-SA"/>
              </w:rPr>
            </w:pPr>
            <w:r>
              <w:rPr>
                <w:rFonts w:hint="eastAsia" w:ascii="方正仿宋_GBK" w:hAnsi="方正仿宋_GBK" w:eastAsia="方正仿宋_GBK" w:cs="方正仿宋_GBK"/>
                <w:b/>
                <w:bCs/>
                <w:color w:val="auto"/>
                <w:kern w:val="2"/>
                <w:sz w:val="21"/>
                <w:szCs w:val="21"/>
                <w:highlight w:val="none"/>
                <w:lang w:val="en-US" w:eastAsia="zh-CN" w:bidi="ar-SA"/>
              </w:rPr>
              <w:t>资格审查项</w:t>
            </w:r>
          </w:p>
        </w:tc>
        <w:tc>
          <w:tcPr>
            <w:tcW w:w="4807" w:type="dxa"/>
            <w:tcBorders>
              <w:tl2br w:val="nil"/>
              <w:tr2bl w:val="nil"/>
            </w:tcBorders>
            <w:noWrap w:val="0"/>
            <w:vAlign w:val="center"/>
          </w:tcPr>
          <w:p w14:paraId="772FCC46">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CN" w:bidi="ar-SA"/>
              </w:rPr>
              <w:t>审查</w:t>
            </w:r>
            <w:r>
              <w:rPr>
                <w:rFonts w:hint="eastAsia" w:ascii="方正仿宋_GBK" w:hAnsi="方正仿宋_GBK" w:eastAsia="方正仿宋_GBK" w:cs="方正仿宋_GBK"/>
                <w:b/>
                <w:bCs/>
                <w:color w:val="auto"/>
                <w:kern w:val="2"/>
                <w:sz w:val="21"/>
                <w:szCs w:val="21"/>
                <w:highlight w:val="none"/>
                <w:lang w:val="en-US" w:eastAsia="zh-Hans" w:bidi="ar-SA"/>
              </w:rPr>
              <w:t>内容</w:t>
            </w:r>
          </w:p>
        </w:tc>
      </w:tr>
      <w:tr w14:paraId="162F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670" w:type="dxa"/>
            <w:vMerge w:val="restart"/>
            <w:tcBorders>
              <w:tl2br w:val="nil"/>
              <w:tr2bl w:val="nil"/>
            </w:tcBorders>
            <w:noWrap w:val="0"/>
            <w:vAlign w:val="center"/>
          </w:tcPr>
          <w:p w14:paraId="33CEBFED">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w:t>
            </w:r>
          </w:p>
        </w:tc>
        <w:tc>
          <w:tcPr>
            <w:tcW w:w="687" w:type="dxa"/>
            <w:vMerge w:val="restart"/>
            <w:tcBorders>
              <w:tl2br w:val="nil"/>
              <w:tr2bl w:val="nil"/>
            </w:tcBorders>
            <w:noWrap w:val="0"/>
            <w:textDirection w:val="tbLrV"/>
            <w:vAlign w:val="center"/>
          </w:tcPr>
          <w:p w14:paraId="7098A891">
            <w:pPr>
              <w:keepNext w:val="0"/>
              <w:keepLines w:val="0"/>
              <w:pageBreakBefore w:val="0"/>
              <w:suppressLineNumbers w:val="0"/>
              <w:kinsoku/>
              <w:overflowPunct/>
              <w:bidi w:val="0"/>
              <w:spacing w:before="0" w:beforeAutospacing="0" w:after="0" w:afterAutospacing="0" w:line="400" w:lineRule="exact"/>
              <w:ind w:left="113" w:right="113"/>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基本资格条件审查</w:t>
            </w:r>
          </w:p>
        </w:tc>
        <w:tc>
          <w:tcPr>
            <w:tcW w:w="3295" w:type="dxa"/>
            <w:tcBorders>
              <w:tl2br w:val="nil"/>
              <w:tr2bl w:val="nil"/>
            </w:tcBorders>
            <w:noWrap w:val="0"/>
            <w:vAlign w:val="center"/>
          </w:tcPr>
          <w:p w14:paraId="41C2B15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1.具有独立承担民事责任的能力</w:t>
            </w:r>
          </w:p>
        </w:tc>
        <w:tc>
          <w:tcPr>
            <w:tcW w:w="4807" w:type="dxa"/>
            <w:tcBorders>
              <w:tl2br w:val="nil"/>
              <w:tr2bl w:val="nil"/>
            </w:tcBorders>
            <w:noWrap w:val="0"/>
            <w:vAlign w:val="center"/>
          </w:tcPr>
          <w:p w14:paraId="58EFB065">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（1）</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 xml:space="preserve">法人营业执照（副本）或事业单位法人证书（副本）（提供复印件）。 </w:t>
            </w:r>
          </w:p>
          <w:p w14:paraId="057F2E77">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法定代表人身份证明和法定代表人授权代表委托书。</w:t>
            </w:r>
          </w:p>
        </w:tc>
      </w:tr>
      <w:tr w14:paraId="04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70" w:type="dxa"/>
            <w:vMerge w:val="continue"/>
            <w:tcBorders>
              <w:tl2br w:val="nil"/>
              <w:tr2bl w:val="nil"/>
            </w:tcBorders>
            <w:noWrap w:val="0"/>
            <w:vAlign w:val="center"/>
          </w:tcPr>
          <w:p w14:paraId="33A9A2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7FD1B6C">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EDA03C8">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zh-CN" w:eastAsia="zh-Hans" w:bidi="ar-SA"/>
              </w:rPr>
              <w:t>2.</w:t>
            </w:r>
            <w:r>
              <w:rPr>
                <w:rFonts w:hint="eastAsia" w:ascii="方正仿宋_GBK" w:hAnsi="方正仿宋_GBK" w:eastAsia="方正仿宋_GBK" w:cs="方正仿宋_GBK"/>
                <w:color w:val="auto"/>
                <w:kern w:val="2"/>
                <w:sz w:val="21"/>
                <w:szCs w:val="21"/>
                <w:highlight w:val="none"/>
                <w:lang w:val="en-US" w:eastAsia="zh-Hans" w:bidi="ar-SA"/>
              </w:rPr>
              <w:t>具有良好的商业信誉和健全的财务会计制度</w:t>
            </w:r>
          </w:p>
        </w:tc>
        <w:tc>
          <w:tcPr>
            <w:tcW w:w="4807" w:type="dxa"/>
            <w:vMerge w:val="restart"/>
            <w:tcBorders>
              <w:tl2br w:val="nil"/>
              <w:tr2bl w:val="nil"/>
            </w:tcBorders>
            <w:noWrap w:val="0"/>
            <w:vAlign w:val="center"/>
          </w:tcPr>
          <w:p w14:paraId="66E87A3F">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提供“基本资格条件承诺函”（见格式文件）</w:t>
            </w:r>
          </w:p>
          <w:p w14:paraId="48FFDBA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47B1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0" w:type="dxa"/>
            <w:vMerge w:val="continue"/>
            <w:tcBorders>
              <w:tl2br w:val="nil"/>
              <w:tr2bl w:val="nil"/>
            </w:tcBorders>
            <w:noWrap w:val="0"/>
            <w:vAlign w:val="center"/>
          </w:tcPr>
          <w:p w14:paraId="65C37299">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6066ECE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2DBA477">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3.具有履行合同所必需的设备和专业技术能力</w:t>
            </w:r>
          </w:p>
        </w:tc>
        <w:tc>
          <w:tcPr>
            <w:tcW w:w="4807" w:type="dxa"/>
            <w:vMerge w:val="continue"/>
            <w:tcBorders>
              <w:tl2br w:val="nil"/>
              <w:tr2bl w:val="nil"/>
            </w:tcBorders>
            <w:noWrap w:val="0"/>
            <w:vAlign w:val="center"/>
          </w:tcPr>
          <w:p w14:paraId="3ED0AAA9">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A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70" w:type="dxa"/>
            <w:vMerge w:val="continue"/>
            <w:tcBorders>
              <w:tl2br w:val="nil"/>
              <w:tr2bl w:val="nil"/>
            </w:tcBorders>
            <w:noWrap w:val="0"/>
            <w:vAlign w:val="center"/>
          </w:tcPr>
          <w:p w14:paraId="1F81F7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7C40EE4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11526D0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4.有依法缴纳税收和社会保障金的良好记录</w:t>
            </w:r>
          </w:p>
        </w:tc>
        <w:tc>
          <w:tcPr>
            <w:tcW w:w="4807" w:type="dxa"/>
            <w:vMerge w:val="continue"/>
            <w:tcBorders>
              <w:tl2br w:val="nil"/>
              <w:tr2bl w:val="nil"/>
            </w:tcBorders>
            <w:noWrap w:val="0"/>
            <w:vAlign w:val="center"/>
          </w:tcPr>
          <w:p w14:paraId="79F4F0E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0AF4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0" w:type="dxa"/>
            <w:vMerge w:val="continue"/>
            <w:tcBorders>
              <w:tl2br w:val="nil"/>
              <w:tr2bl w:val="nil"/>
            </w:tcBorders>
            <w:noWrap w:val="0"/>
            <w:vAlign w:val="center"/>
          </w:tcPr>
          <w:p w14:paraId="544D9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C99D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000C0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en-US" w:eastAsia="zh-Hans" w:bidi="ar-SA"/>
              </w:rPr>
              <w:t>5.参加</w:t>
            </w:r>
            <w:r>
              <w:rPr>
                <w:rFonts w:hint="eastAsia" w:ascii="方正仿宋_GBK" w:hAnsi="方正仿宋_GBK" w:eastAsia="方正仿宋_GBK" w:cs="方正仿宋_GBK"/>
                <w:color w:val="auto"/>
                <w:kern w:val="2"/>
                <w:sz w:val="21"/>
                <w:szCs w:val="21"/>
                <w:highlight w:val="none"/>
                <w:lang w:val="en-US" w:eastAsia="zh-CN" w:bidi="ar-SA"/>
              </w:rPr>
              <w:t>本次</w:t>
            </w:r>
            <w:r>
              <w:rPr>
                <w:rFonts w:hint="eastAsia" w:ascii="方正仿宋_GBK" w:hAnsi="方正仿宋_GBK" w:eastAsia="方正仿宋_GBK" w:cs="方正仿宋_GBK"/>
                <w:color w:val="auto"/>
                <w:kern w:val="2"/>
                <w:sz w:val="21"/>
                <w:szCs w:val="21"/>
                <w:highlight w:val="none"/>
                <w:lang w:val="en-US" w:eastAsia="zh-Hans" w:bidi="ar-SA"/>
              </w:rPr>
              <w:t>采购活动前三年内，在经营活动中没有重大违法记录</w:t>
            </w:r>
          </w:p>
        </w:tc>
        <w:tc>
          <w:tcPr>
            <w:tcW w:w="4807" w:type="dxa"/>
            <w:vMerge w:val="continue"/>
            <w:tcBorders>
              <w:tl2br w:val="nil"/>
              <w:tr2bl w:val="nil"/>
            </w:tcBorders>
            <w:noWrap w:val="0"/>
            <w:vAlign w:val="center"/>
          </w:tcPr>
          <w:p w14:paraId="59502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E2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0269E3D9">
            <w:pPr>
              <w:pStyle w:val="2"/>
              <w:suppressLineNumbers w:val="0"/>
              <w:spacing w:beforeAutospacing="0" w:afterAutospacing="0"/>
              <w:ind w:left="0" w:right="0"/>
              <w:rPr>
                <w:rFonts w:hint="eastAsia" w:ascii="方正仿宋_GBK" w:hAnsi="方正仿宋_GBK" w:eastAsia="方正仿宋_GBK" w:cs="方正仿宋_GBK"/>
                <w:lang w:val="en-US" w:eastAsia="zh-Hans"/>
              </w:rPr>
            </w:pPr>
          </w:p>
        </w:tc>
        <w:tc>
          <w:tcPr>
            <w:tcW w:w="687" w:type="dxa"/>
            <w:vMerge w:val="continue"/>
            <w:tcBorders>
              <w:tl2br w:val="nil"/>
              <w:tr2bl w:val="nil"/>
            </w:tcBorders>
            <w:noWrap w:val="0"/>
            <w:vAlign w:val="center"/>
          </w:tcPr>
          <w:p w14:paraId="32E4F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3295" w:type="dxa"/>
            <w:tcBorders>
              <w:tl2br w:val="nil"/>
              <w:tr2bl w:val="nil"/>
            </w:tcBorders>
            <w:noWrap w:val="0"/>
            <w:vAlign w:val="center"/>
          </w:tcPr>
          <w:p w14:paraId="4DA572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6.法律、行政法规规定的其他条件</w:t>
            </w:r>
          </w:p>
        </w:tc>
        <w:tc>
          <w:tcPr>
            <w:tcW w:w="4807" w:type="dxa"/>
            <w:tcBorders>
              <w:tl2br w:val="nil"/>
              <w:tr2bl w:val="nil"/>
            </w:tcBorders>
            <w:noWrap w:val="0"/>
            <w:vAlign w:val="center"/>
          </w:tcPr>
          <w:p w14:paraId="7D971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6FC5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restart"/>
            <w:tcBorders>
              <w:tl2br w:val="nil"/>
              <w:tr2bl w:val="nil"/>
            </w:tcBorders>
            <w:noWrap w:val="0"/>
            <w:vAlign w:val="center"/>
          </w:tcPr>
          <w:p w14:paraId="7E36D1A2">
            <w:pPr>
              <w:pStyle w:val="2"/>
              <w:suppressLineNumbers w:val="0"/>
              <w:spacing w:beforeAutospacing="0" w:afterAutospacing="0"/>
              <w:ind w:left="0" w:right="0"/>
              <w:jc w:val="center"/>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lang w:val="en-US" w:eastAsia="zh-CN"/>
              </w:rPr>
              <w:t>2</w:t>
            </w:r>
          </w:p>
        </w:tc>
        <w:tc>
          <w:tcPr>
            <w:tcW w:w="687" w:type="dxa"/>
            <w:vMerge w:val="restart"/>
            <w:tcBorders>
              <w:tl2br w:val="nil"/>
              <w:tr2bl w:val="nil"/>
            </w:tcBorders>
            <w:noWrap w:val="0"/>
            <w:vAlign w:val="center"/>
          </w:tcPr>
          <w:p w14:paraId="5276D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特定资格条件</w:t>
            </w:r>
          </w:p>
        </w:tc>
        <w:tc>
          <w:tcPr>
            <w:tcW w:w="3295" w:type="dxa"/>
            <w:tcBorders>
              <w:tl2br w:val="nil"/>
              <w:tr2bl w:val="nil"/>
            </w:tcBorders>
            <w:noWrap w:val="0"/>
            <w:vAlign w:val="center"/>
          </w:tcPr>
          <w:p w14:paraId="3F688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1.所投产品属于第一类医疗器械时，产品需提供“医疗器械备案凭证”；同时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是制造商，应具备第一类医疗器械生产备案凭证。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w:t>
            </w:r>
            <w:r>
              <w:rPr>
                <w:rFonts w:hint="eastAsia" w:ascii="方正仿宋_GBK" w:hAnsi="方正仿宋_GBK" w:eastAsia="方正仿宋_GBK" w:cs="方正仿宋_GBK"/>
                <w:color w:val="auto"/>
                <w:kern w:val="2"/>
                <w:sz w:val="21"/>
                <w:szCs w:val="21"/>
                <w:highlight w:val="none"/>
                <w:lang w:val="en-US" w:eastAsia="zh-CN" w:bidi="ar-SA"/>
              </w:rPr>
              <w:t>若竞选人不是制造商，须具备有效企业营业执照（企业法人）</w:t>
            </w:r>
            <w:r>
              <w:rPr>
                <w:rFonts w:hint="eastAsia" w:ascii="方正仿宋_GBK" w:hAnsi="方正仿宋_GBK" w:eastAsia="方正仿宋_GBK" w:cs="方正仿宋_GBK"/>
                <w:color w:val="auto"/>
                <w:kern w:val="2"/>
                <w:sz w:val="21"/>
                <w:szCs w:val="21"/>
                <w:highlight w:val="none"/>
                <w:lang w:val="en-US" w:eastAsia="zh-Hans" w:bidi="ar-SA"/>
              </w:rPr>
              <w:t>。</w:t>
            </w:r>
          </w:p>
        </w:tc>
        <w:tc>
          <w:tcPr>
            <w:tcW w:w="4807" w:type="dxa"/>
            <w:tcBorders>
              <w:tl2br w:val="nil"/>
              <w:tr2bl w:val="nil"/>
            </w:tcBorders>
            <w:noWrap w:val="0"/>
            <w:vAlign w:val="center"/>
          </w:tcPr>
          <w:p w14:paraId="13D7F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1B3A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p w14:paraId="1B7A4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sz w:val="21"/>
                <w:szCs w:val="21"/>
                <w:highlight w:val="none"/>
                <w:lang w:val="en-US" w:eastAsia="zh-CN"/>
              </w:rPr>
            </w:pPr>
          </w:p>
          <w:p w14:paraId="74443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2365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26CCB3C4">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67CC9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79124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所投产品属于第二类和第三类医疗器械时，产品需提供“医疗器械注册证”；同时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应具备医疗器械生产许可证。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不是制造商，所投产品属于第二类医疗器械的，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应具备经营第二类医疗器械的备案证明；所投产品属于第三类医疗器械的，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应具备医疗器械经营许可证。</w:t>
            </w:r>
          </w:p>
        </w:tc>
        <w:tc>
          <w:tcPr>
            <w:tcW w:w="4807" w:type="dxa"/>
            <w:tcBorders>
              <w:tl2br w:val="nil"/>
              <w:tr2bl w:val="nil"/>
            </w:tcBorders>
            <w:noWrap w:val="0"/>
            <w:vAlign w:val="center"/>
          </w:tcPr>
          <w:p w14:paraId="7E101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0E2A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72A8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3D890E4E">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79525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33BE5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3.《医药价格和招采信用评级等级承诺书》。</w:t>
            </w:r>
          </w:p>
        </w:tc>
        <w:tc>
          <w:tcPr>
            <w:tcW w:w="4807" w:type="dxa"/>
            <w:tcBorders>
              <w:tl2br w:val="nil"/>
              <w:tr2bl w:val="nil"/>
            </w:tcBorders>
            <w:noWrap w:val="0"/>
            <w:vAlign w:val="center"/>
          </w:tcPr>
          <w:p w14:paraId="62135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Hans" w:bidi="ar-SA"/>
              </w:rPr>
              <w:t>不得是医药价格和招采信用评级等级为“中等”“严重”及“特别严重”企业</w:t>
            </w:r>
            <w:r>
              <w:rPr>
                <w:rFonts w:hint="eastAsia" w:ascii="方正仿宋_GBK" w:hAnsi="方正仿宋_GBK" w:eastAsia="方正仿宋_GBK" w:cs="方正仿宋_GBK"/>
                <w:color w:val="auto"/>
                <w:kern w:val="2"/>
                <w:sz w:val="21"/>
                <w:szCs w:val="21"/>
                <w:highlight w:val="none"/>
                <w:lang w:val="en-US" w:eastAsia="zh-CN" w:bidi="ar-SA"/>
              </w:rPr>
              <w:t>。</w:t>
            </w:r>
          </w:p>
        </w:tc>
      </w:tr>
    </w:tbl>
    <w:p w14:paraId="02ADBEC3">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备注：</w:t>
      </w:r>
    </w:p>
    <w:p w14:paraId="16D25283">
      <w:pPr>
        <w:pStyle w:val="13"/>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所有纸质版材料（包括报名表、所有资质）均需加盖供应商公章鲜章（具体要求见附件2），</w:t>
      </w:r>
      <w:r>
        <w:rPr>
          <w:rFonts w:hint="default" w:ascii="方正仿宋_GBK" w:hAnsi="方正仿宋_GBK" w:eastAsia="方正仿宋_GBK" w:cs="方正仿宋_GBK"/>
          <w:color w:val="000000"/>
          <w:sz w:val="24"/>
          <w:lang w:val="en-US" w:eastAsia="zh-CN"/>
        </w:rPr>
        <w:t>对应资质扫描件（PDF版）</w:t>
      </w:r>
      <w:r>
        <w:rPr>
          <w:rFonts w:hint="eastAsia" w:ascii="方正仿宋_GBK" w:hAnsi="方正仿宋_GBK" w:eastAsia="方正仿宋_GBK" w:cs="方正仿宋_GBK"/>
          <w:color w:val="000000"/>
          <w:sz w:val="24"/>
          <w:lang w:val="en-US" w:eastAsia="zh-CN"/>
        </w:rPr>
        <w:t>发送至邮箱hydeywzzx@163.com</w:t>
      </w:r>
      <w:r>
        <w:rPr>
          <w:rFonts w:hint="eastAsia" w:ascii="方正仿宋_GBK" w:hAnsi="方正仿宋_GBK" w:eastAsia="方正仿宋_GBK" w:cs="方正仿宋_GBK"/>
          <w:color w:val="auto"/>
          <w:sz w:val="24"/>
          <w:u w:val="single"/>
          <w:lang w:val="en-US" w:eastAsia="zh-CN"/>
        </w:rPr>
        <w:t>（文件命名为：项目编号 项目名称 竞选人名称）</w:t>
      </w:r>
      <w:r>
        <w:rPr>
          <w:rFonts w:hint="eastAsia" w:ascii="方正仿宋_GBK" w:hAnsi="宋体" w:eastAsia="方正仿宋_GBK"/>
          <w:sz w:val="24"/>
          <w:lang w:val="en-US" w:eastAsia="zh-CN"/>
        </w:rPr>
        <w:t>。</w:t>
      </w:r>
    </w:p>
    <w:p w14:paraId="0D940A65">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（二）报名材料及资质由物资中心进行初审。</w:t>
      </w:r>
    </w:p>
    <w:p w14:paraId="573F9CA7">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（三）未通过资格初审的供应商，不得进入后续的遴选采购流程。</w:t>
      </w:r>
    </w:p>
    <w:p w14:paraId="38540A15">
      <w:pPr>
        <w:rPr>
          <w:rFonts w:hint="eastAsia"/>
          <w:lang w:val="en-US" w:eastAsia="zh-CN"/>
        </w:rPr>
      </w:pPr>
      <w:bookmarkStart w:id="11" w:name="_Toc31255"/>
      <w:bookmarkStart w:id="12" w:name="_Toc20473"/>
    </w:p>
    <w:p w14:paraId="19922D9B">
      <w:pPr>
        <w:pStyle w:val="4"/>
        <w:numPr>
          <w:ilvl w:val="0"/>
          <w:numId w:val="4"/>
        </w:numPr>
        <w:adjustRightInd w:val="0"/>
        <w:snapToGrid w:val="0"/>
        <w:spacing w:before="0" w:after="0" w:line="400" w:lineRule="exact"/>
        <w:rPr>
          <w:rFonts w:hint="default" w:ascii="方正仿宋_GBK" w:hAnsi="宋体" w:eastAsia="方正仿宋_GBK"/>
          <w:sz w:val="24"/>
          <w:lang w:val="en-US" w:eastAsia="zh-CN"/>
        </w:rPr>
      </w:pPr>
      <w:r>
        <w:rPr>
          <w:rFonts w:hint="eastAsia" w:ascii="方正仿宋_GBK" w:hAnsi="宋体" w:eastAsia="方正仿宋_GBK"/>
          <w:sz w:val="24"/>
          <w:lang w:val="en-US" w:eastAsia="zh-CN"/>
        </w:rPr>
        <w:t>评审程序</w:t>
      </w:r>
    </w:p>
    <w:p w14:paraId="4CFAF520">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rPr>
        <w:t>1.</w:t>
      </w:r>
      <w:r>
        <w:rPr>
          <w:rFonts w:hint="eastAsia" w:ascii="方正仿宋_GBK" w:hAnsi="宋体" w:eastAsia="方正仿宋_GBK"/>
          <w:sz w:val="24"/>
          <w:lang w:val="en-US" w:eastAsia="zh-CN"/>
        </w:rPr>
        <w:t>对于报名成功的产品，我院将通过遴选采购联合评审会的形式，对报名产品进行评审，确定中选结果。</w:t>
      </w:r>
    </w:p>
    <w:p w14:paraId="67700D47">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2</w:t>
      </w:r>
      <w:r>
        <w:rPr>
          <w:rFonts w:hint="eastAsia" w:ascii="方正仿宋_GBK" w:hAnsi="宋体" w:eastAsia="方正仿宋_GBK"/>
          <w:sz w:val="24"/>
        </w:rPr>
        <w:t>.</w:t>
      </w:r>
      <w:r>
        <w:rPr>
          <w:rFonts w:hint="eastAsia" w:ascii="方正仿宋_GBK" w:hAnsi="宋体" w:eastAsia="方正仿宋_GBK"/>
          <w:sz w:val="24"/>
          <w:lang w:val="en-US" w:eastAsia="zh-CN"/>
        </w:rPr>
        <w:t>我院会在评审会前以短信或邮箱（报名材料上所留电话或邮箱）通知报名成功的供应商进行报价。</w:t>
      </w:r>
    </w:p>
    <w:p w14:paraId="2FF07DE5">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sz w:val="24"/>
          <w:lang w:val="en-US" w:eastAsia="zh-CN"/>
        </w:rPr>
        <w:t>3</w:t>
      </w:r>
      <w:r>
        <w:rPr>
          <w:rFonts w:hint="eastAsia" w:ascii="方正仿宋_GBK" w:hAnsi="宋体" w:eastAsia="方正仿宋_GBK"/>
          <w:sz w:val="24"/>
        </w:rPr>
        <w:t>.</w:t>
      </w:r>
      <w:r>
        <w:rPr>
          <w:rFonts w:hint="eastAsia" w:ascii="方正仿宋_GBK" w:hAnsi="宋体" w:eastAsia="方正仿宋_GBK"/>
          <w:sz w:val="24"/>
          <w:lang w:val="en-US" w:eastAsia="zh-CN"/>
        </w:rPr>
        <w:t>若联系方式（包括但不限于电话、电子邮箱等）有变化，请务必正式通知我院物资中心相关工作人员。</w:t>
      </w:r>
    </w:p>
    <w:p w14:paraId="3C8075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1D049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6FA5EEFF">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0DD0DB2">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9EF9560">
      <w:pPr>
        <w:pStyle w:val="3"/>
        <w:pageBreakBefore w:val="0"/>
        <w:numPr>
          <w:ilvl w:val="0"/>
          <w:numId w:val="0"/>
        </w:numPr>
        <w:kinsoku/>
        <w:overflowPunct/>
        <w:bidi w:val="0"/>
        <w:spacing w:before="0" w:after="0" w:line="400" w:lineRule="exact"/>
        <w:jc w:val="both"/>
        <w:textAlignment w:val="auto"/>
        <w:rPr>
          <w:rFonts w:hint="eastAsia" w:ascii="宋体" w:hAnsi="Times New Roman" w:eastAsia="宋体" w:cs="Times New Roman"/>
          <w:snapToGrid w:val="0"/>
          <w:color w:val="auto"/>
          <w:kern w:val="0"/>
          <w:sz w:val="32"/>
          <w:szCs w:val="32"/>
          <w:highlight w:val="none"/>
          <w:lang w:val="en-US" w:eastAsia="zh-CN"/>
        </w:rPr>
      </w:pPr>
    </w:p>
    <w:p w14:paraId="0CC0A1A7">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rPr>
      </w:pPr>
      <w:r>
        <w:rPr>
          <w:rFonts w:hint="eastAsia" w:ascii="宋体" w:hAnsi="Times New Roman" w:eastAsia="宋体" w:cs="Times New Roman"/>
          <w:snapToGrid w:val="0"/>
          <w:color w:val="auto"/>
          <w:kern w:val="0"/>
          <w:sz w:val="32"/>
          <w:szCs w:val="32"/>
          <w:highlight w:val="none"/>
          <w:lang w:val="en-US" w:eastAsia="zh-CN"/>
        </w:rPr>
        <w:t>第</w:t>
      </w:r>
      <w:r>
        <w:rPr>
          <w:rFonts w:hint="eastAsia" w:hAnsi="Times New Roman" w:cs="Times New Roman"/>
          <w:snapToGrid w:val="0"/>
          <w:color w:val="auto"/>
          <w:kern w:val="0"/>
          <w:sz w:val="32"/>
          <w:szCs w:val="32"/>
          <w:highlight w:val="none"/>
          <w:lang w:val="en-US" w:eastAsia="zh-CN"/>
        </w:rPr>
        <w:t>四</w:t>
      </w:r>
      <w:r>
        <w:rPr>
          <w:rFonts w:hint="eastAsia" w:ascii="宋体" w:hAnsi="Times New Roman" w:eastAsia="宋体" w:cs="Times New Roman"/>
          <w:snapToGrid w:val="0"/>
          <w:color w:val="auto"/>
          <w:kern w:val="0"/>
          <w:sz w:val="32"/>
          <w:szCs w:val="32"/>
          <w:highlight w:val="none"/>
          <w:lang w:val="en-US" w:eastAsia="zh-CN"/>
        </w:rPr>
        <w:t xml:space="preserve">章  </w:t>
      </w:r>
      <w:r>
        <w:rPr>
          <w:rFonts w:hint="eastAsia" w:ascii="宋体" w:hAnsi="Times New Roman" w:eastAsia="宋体" w:cs="Times New Roman"/>
          <w:snapToGrid w:val="0"/>
          <w:color w:val="auto"/>
          <w:kern w:val="0"/>
          <w:sz w:val="32"/>
          <w:szCs w:val="32"/>
          <w:highlight w:val="none"/>
        </w:rPr>
        <w:t>竞选文件格式</w:t>
      </w:r>
      <w:bookmarkEnd w:id="11"/>
      <w:bookmarkEnd w:id="12"/>
    </w:p>
    <w:p w14:paraId="0437DC21">
      <w:pPr>
        <w:pageBreakBefore w:val="0"/>
        <w:kinsoku/>
        <w:overflowPunct/>
        <w:bidi w:val="0"/>
        <w:spacing w:line="400" w:lineRule="exact"/>
        <w:ind w:right="79"/>
        <w:jc w:val="center"/>
        <w:textAlignment w:val="auto"/>
        <w:outlineLvl w:val="0"/>
        <w:rPr>
          <w:color w:val="auto"/>
          <w:sz w:val="30"/>
          <w:highlight w:val="none"/>
        </w:rPr>
      </w:pPr>
      <w:r>
        <w:rPr>
          <w:color w:val="auto"/>
          <w:sz w:val="30"/>
          <w:highlight w:val="none"/>
        </w:rPr>
        <w:t>（未规定格式的，由</w:t>
      </w:r>
      <w:r>
        <w:rPr>
          <w:rFonts w:hint="eastAsia"/>
          <w:color w:val="auto"/>
          <w:sz w:val="30"/>
          <w:highlight w:val="none"/>
          <w:lang w:val="en-US" w:eastAsia="zh-CN"/>
        </w:rPr>
        <w:t>竞选人</w:t>
      </w:r>
      <w:r>
        <w:rPr>
          <w:color w:val="auto"/>
          <w:sz w:val="30"/>
          <w:highlight w:val="none"/>
        </w:rPr>
        <w:t>自定）</w:t>
      </w:r>
    </w:p>
    <w:p w14:paraId="451B4407">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0"/>
        <w:textAlignment w:val="auto"/>
        <w:rPr>
          <w:rFonts w:hint="eastAsia" w:ascii="方正小标宋_GBK" w:hAnsi="方正小标宋_GBK" w:eastAsia="方正小标宋_GBK" w:cs="方正小标宋_GBK"/>
          <w:color w:val="auto"/>
          <w:spacing w:val="-20"/>
          <w:kern w:val="2"/>
          <w:sz w:val="30"/>
          <w:szCs w:val="30"/>
          <w:lang w:val="en-US" w:eastAsia="zh-CN" w:bidi="ar-SA"/>
        </w:rPr>
      </w:pPr>
    </w:p>
    <w:p w14:paraId="232A17B9">
      <w:pPr>
        <w:pageBreakBefore w:val="0"/>
        <w:kinsoku/>
        <w:overflowPunct/>
        <w:bidi w:val="0"/>
        <w:spacing w:line="400" w:lineRule="exact"/>
        <w:jc w:val="center"/>
        <w:textAlignment w:val="auto"/>
        <w:rPr>
          <w:rFonts w:hint="eastAsia" w:ascii="宋体"/>
          <w:color w:val="auto"/>
          <w:sz w:val="36"/>
          <w:szCs w:val="36"/>
          <w:highlight w:val="none"/>
        </w:rPr>
      </w:pPr>
      <w:r>
        <w:rPr>
          <w:rFonts w:hint="eastAsia" w:ascii="宋体"/>
          <w:color w:val="auto"/>
          <w:sz w:val="36"/>
          <w:szCs w:val="36"/>
          <w:highlight w:val="none"/>
        </w:rPr>
        <w:t>目  录</w:t>
      </w:r>
    </w:p>
    <w:p w14:paraId="2DD90D66">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cs="宋体" w:hAnsiTheme="minorHAnsi" w:eastAsiaTheme="minorEastAsia"/>
          <w:color w:val="auto"/>
          <w:kern w:val="2"/>
          <w:sz w:val="21"/>
          <w:szCs w:val="21"/>
          <w:highlight w:val="none"/>
          <w:lang w:val="en-US" w:eastAsia="zh-CN" w:bidi="ar-SA"/>
        </w:rPr>
      </w:pPr>
    </w:p>
    <w:p w14:paraId="58EF5F64">
      <w:pPr>
        <w:pageBreakBefore w:val="0"/>
        <w:numPr>
          <w:ilvl w:val="0"/>
          <w:numId w:val="0"/>
        </w:numPr>
        <w:kinsoku/>
        <w:overflowPunct/>
        <w:bidi w:val="0"/>
        <w:spacing w:line="400" w:lineRule="exact"/>
        <w:textAlignment w:val="auto"/>
        <w:rPr>
          <w:rFonts w:hint="eastAsia" w:ascii="宋体" w:hAnsi="Times New Roman" w:eastAsia="宋体" w:cs="Times New Roman"/>
          <w:b w:val="0"/>
          <w:bCs w:val="0"/>
          <w:color w:val="auto"/>
          <w:highlight w:val="none"/>
          <w:lang w:val="en-US" w:eastAsia="zh-CN"/>
        </w:rPr>
      </w:pPr>
      <w:r>
        <w:rPr>
          <w:rFonts w:hint="eastAsia" w:ascii="宋体" w:cs="宋体"/>
          <w:b/>
          <w:color w:val="auto"/>
          <w:highlight w:val="none"/>
        </w:rPr>
        <w:t>资格</w:t>
      </w:r>
      <w:r>
        <w:rPr>
          <w:rFonts w:hint="eastAsia" w:ascii="宋体" w:cs="宋体"/>
          <w:b/>
          <w:color w:val="auto"/>
          <w:highlight w:val="none"/>
          <w:lang w:val="en-US" w:eastAsia="zh-CN"/>
        </w:rPr>
        <w:t>文件及其他</w:t>
      </w:r>
    </w:p>
    <w:p w14:paraId="20D389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highlight w:val="none"/>
        </w:rPr>
      </w:pPr>
      <w:r>
        <w:rPr>
          <w:rFonts w:hint="eastAsia" w:ascii="宋体" w:hAnsi="Times New Roman" w:eastAsia="宋体" w:cs="Times New Roman"/>
          <w:b w:val="0"/>
          <w:bCs w:val="0"/>
          <w:color w:val="auto"/>
          <w:highlight w:val="none"/>
          <w:lang w:val="en-US" w:eastAsia="zh-CN"/>
        </w:rPr>
        <w:t>（一）</w:t>
      </w:r>
      <w:r>
        <w:rPr>
          <w:rFonts w:hint="eastAsia" w:ascii="宋体"/>
          <w:color w:val="auto"/>
          <w:highlight w:val="none"/>
        </w:rPr>
        <w:t>法人营业执照(副本)或事业单位法人证书(副本)复印件</w:t>
      </w:r>
      <w:r>
        <w:rPr>
          <w:rFonts w:hint="eastAsia" w:ascii="宋体"/>
          <w:color w:val="auto"/>
          <w:highlight w:val="none"/>
          <w:lang w:eastAsia="zh-CN"/>
        </w:rPr>
        <w:t>。</w:t>
      </w:r>
    </w:p>
    <w:p w14:paraId="4A8277C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color w:val="auto"/>
          <w:highlight w:val="none"/>
        </w:rPr>
      </w:pPr>
      <w:r>
        <w:rPr>
          <w:rFonts w:hint="eastAsia" w:ascii="宋体" w:hAnsi="Times New Roman" w:eastAsia="宋体" w:cs="Times New Roman"/>
          <w:color w:val="auto"/>
          <w:kern w:val="2"/>
          <w:sz w:val="21"/>
          <w:szCs w:val="24"/>
          <w:highlight w:val="none"/>
          <w:lang w:val="en-US" w:eastAsia="zh-CN" w:bidi="ar-SA"/>
        </w:rPr>
        <w:t>（二）</w:t>
      </w:r>
      <w:r>
        <w:rPr>
          <w:rFonts w:hint="eastAsia" w:ascii="宋体"/>
          <w:color w:val="auto"/>
          <w:highlight w:val="none"/>
        </w:rPr>
        <w:t>法定代表人身份证明及授权委托书</w:t>
      </w:r>
    </w:p>
    <w:p w14:paraId="2598AA2B">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宋体"/>
          <w:color w:val="auto"/>
          <w:highlight w:val="none"/>
          <w:lang w:val="en-US" w:eastAsia="zh-CN"/>
        </w:rPr>
      </w:pPr>
      <w:r>
        <w:rPr>
          <w:rFonts w:hint="eastAsia" w:ascii="宋体"/>
          <w:color w:val="auto"/>
          <w:highlight w:val="none"/>
          <w:lang w:eastAsia="zh-CN"/>
        </w:rPr>
        <w:t>（</w:t>
      </w:r>
      <w:r>
        <w:rPr>
          <w:rFonts w:hint="eastAsia" w:ascii="宋体"/>
          <w:color w:val="auto"/>
          <w:highlight w:val="none"/>
          <w:lang w:val="en-US" w:eastAsia="zh-CN"/>
        </w:rPr>
        <w:t>三）特定资格条件证明材料</w:t>
      </w:r>
    </w:p>
    <w:p w14:paraId="5188AF71">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宋体"/>
          <w:color w:val="auto"/>
          <w:highlight w:val="none"/>
          <w:lang w:val="en-US" w:eastAsia="zh-CN"/>
        </w:rPr>
      </w:pPr>
      <w:r>
        <w:rPr>
          <w:rFonts w:hint="eastAsia" w:ascii="宋体"/>
          <w:color w:val="auto"/>
          <w:highlight w:val="none"/>
          <w:lang w:val="en-US" w:eastAsia="zh-CN"/>
        </w:rPr>
        <w:t>（四）其他资质（详见附表2中报名供应商信息审核表）</w:t>
      </w:r>
    </w:p>
    <w:p w14:paraId="035F48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（五）承诺</w:t>
      </w:r>
    </w:p>
    <w:p w14:paraId="58A1057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1.基本资格条件承诺函</w:t>
      </w:r>
    </w:p>
    <w:p w14:paraId="4C1736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2.实质性响应承诺函</w:t>
      </w:r>
    </w:p>
    <w:p w14:paraId="11719FA5">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3.遴选采购最低价承诺书</w:t>
      </w:r>
    </w:p>
    <w:p w14:paraId="10CE2CEB">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4.医药价格和招采信用评级等级承诺书及佐证材料</w:t>
      </w:r>
    </w:p>
    <w:p w14:paraId="4A3F62A6">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5.产品质量及售后服务承诺书</w:t>
      </w:r>
    </w:p>
    <w:p w14:paraId="5D4D9312">
      <w:pPr>
        <w:pStyle w:val="8"/>
        <w:numPr>
          <w:ilvl w:val="0"/>
          <w:numId w:val="0"/>
        </w:numPr>
        <w:spacing w:line="440" w:lineRule="exact"/>
        <w:ind w:left="420" w:leftChars="0"/>
        <w:rPr>
          <w:rFonts w:hint="eastAsia" w:ascii="宋体" w:hAnsi="Times New Roman" w:eastAsia="宋体" w:cs="Times New Roman"/>
          <w:color w:val="auto"/>
          <w:kern w:val="0"/>
          <w:sz w:val="24"/>
          <w:highlight w:val="none"/>
        </w:rPr>
      </w:pPr>
      <w:r>
        <w:rPr>
          <w:rFonts w:hint="eastAsia" w:ascii="宋体" w:hAnsi="Times New Roman" w:eastAsia="宋体" w:cs="宋体"/>
          <w:color w:val="auto"/>
          <w:szCs w:val="21"/>
          <w:highlight w:val="none"/>
          <w:lang w:val="en-US" w:eastAsia="zh-CN"/>
        </w:rPr>
        <w:br w:type="page"/>
      </w:r>
      <w:bookmarkStart w:id="13" w:name="_Toc277082657"/>
      <w:bookmarkStart w:id="14" w:name="_Toc430530546"/>
      <w:bookmarkStart w:id="15" w:name="_Toc287620830"/>
      <w:bookmarkStart w:id="16" w:name="_Toc224103511"/>
      <w:bookmarkStart w:id="17" w:name="_Toc27983325"/>
      <w:bookmarkStart w:id="18" w:name="_Toc287607883"/>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一</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rPr>
        <w:t>法人营业执照(副本)或事业单位法人证书(副本)复印件</w:t>
      </w:r>
      <w:r>
        <w:rPr>
          <w:rFonts w:hint="eastAsia" w:ascii="宋体" w:hAnsi="Times New Roman" w:eastAsia="宋体" w:cs="宋体"/>
          <w:b w:val="0"/>
          <w:bCs w:val="0"/>
          <w:color w:val="auto"/>
          <w:highlight w:val="none"/>
          <w:lang w:eastAsia="zh-CN"/>
        </w:rPr>
        <w:t>。</w:t>
      </w:r>
      <w:r>
        <w:rPr>
          <w:rFonts w:hint="eastAsia" w:hAnsi="Times New Roman" w:eastAsia="宋体" w:cs="宋体"/>
          <w:b w:val="0"/>
          <w:bCs w:val="0"/>
          <w:color w:val="auto"/>
          <w:highlight w:val="none"/>
          <w:lang w:eastAsia="zh-CN"/>
        </w:rPr>
        <w:t>（格式自定）</w:t>
      </w:r>
    </w:p>
    <w:p w14:paraId="5CD5E0B7">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FCEC12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79D63AE">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445E2B1">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3E2F163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295C05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F880ECA">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1B6F04C4">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A8DB032">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C47EFB">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C42E60D">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FC0086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0F88A21">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031359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FCB8D9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4A8B16">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E4505D7">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CA74907">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BFCF76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477A7A3">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A6E1B8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1582883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E314D6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9204EA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539184C">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AF27781">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AE6094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606382F">
      <w:pPr>
        <w:pStyle w:val="2"/>
        <w:pageBreakBefore w:val="0"/>
        <w:kinsoku/>
        <w:overflowPunct/>
        <w:bidi w:val="0"/>
        <w:spacing w:before="0" w:after="0" w:line="400" w:lineRule="exact"/>
        <w:textAlignment w:val="auto"/>
        <w:rPr>
          <w:rFonts w:hint="eastAsia"/>
          <w:color w:val="auto"/>
          <w:highlight w:val="none"/>
        </w:rPr>
      </w:pPr>
    </w:p>
    <w:p w14:paraId="686A15CD">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bookmarkEnd w:id="13"/>
    <w:bookmarkEnd w:id="14"/>
    <w:bookmarkEnd w:id="15"/>
    <w:bookmarkEnd w:id="16"/>
    <w:bookmarkEnd w:id="17"/>
    <w:bookmarkEnd w:id="18"/>
    <w:p w14:paraId="4F3DAA6C">
      <w:pPr>
        <w:pageBreakBefore w:val="0"/>
        <w:kinsoku/>
        <w:overflowPunct/>
        <w:bidi w:val="0"/>
        <w:spacing w:line="400" w:lineRule="exact"/>
        <w:jc w:val="both"/>
        <w:textAlignment w:val="auto"/>
        <w:rPr>
          <w:rFonts w:hint="eastAsia" w:ascii="宋体" w:cs="宋体"/>
          <w:b/>
          <w:color w:val="auto"/>
          <w:sz w:val="28"/>
          <w:highlight w:val="none"/>
        </w:rPr>
      </w:pPr>
    </w:p>
    <w:p w14:paraId="4E98E2B9">
      <w:pPr>
        <w:pStyle w:val="2"/>
        <w:rPr>
          <w:rFonts w:hint="eastAsia"/>
        </w:rPr>
      </w:pPr>
    </w:p>
    <w:p w14:paraId="6E47FFE0">
      <w:pPr>
        <w:pageBreakBefore w:val="0"/>
        <w:kinsoku/>
        <w:overflowPunct/>
        <w:bidi w:val="0"/>
        <w:spacing w:line="400" w:lineRule="exact"/>
        <w:jc w:val="center"/>
        <w:textAlignment w:val="auto"/>
        <w:rPr>
          <w:rFonts w:hint="eastAsia" w:ascii="宋体" w:cs="宋体"/>
          <w:color w:val="auto"/>
          <w:sz w:val="28"/>
          <w:highlight w:val="none"/>
        </w:rPr>
      </w:pPr>
    </w:p>
    <w:p w14:paraId="435F8C3C">
      <w:pPr>
        <w:pageBreakBefore w:val="0"/>
        <w:kinsoku/>
        <w:overflowPunct/>
        <w:bidi w:val="0"/>
        <w:spacing w:line="400" w:lineRule="exact"/>
        <w:jc w:val="center"/>
        <w:textAlignment w:val="auto"/>
        <w:rPr>
          <w:rFonts w:hint="eastAsia" w:ascii="宋体" w:cs="宋体"/>
          <w:color w:val="auto"/>
          <w:sz w:val="28"/>
          <w:highlight w:val="none"/>
        </w:rPr>
      </w:pPr>
    </w:p>
    <w:p w14:paraId="2388683A">
      <w:pPr>
        <w:pageBreakBefore w:val="0"/>
        <w:kinsoku/>
        <w:overflowPunct/>
        <w:bidi w:val="0"/>
        <w:spacing w:line="400" w:lineRule="exact"/>
        <w:jc w:val="center"/>
        <w:textAlignment w:val="auto"/>
        <w:rPr>
          <w:rFonts w:hint="eastAsia" w:ascii="宋体" w:cs="宋体"/>
          <w:color w:val="auto"/>
          <w:sz w:val="28"/>
          <w:highlight w:val="none"/>
        </w:rPr>
      </w:pPr>
    </w:p>
    <w:p w14:paraId="7CE10E6E">
      <w:pPr>
        <w:numPr>
          <w:ilvl w:val="0"/>
          <w:numId w:val="0"/>
        </w:numPr>
        <w:spacing w:line="360" w:lineRule="auto"/>
        <w:jc w:val="both"/>
        <w:rPr>
          <w:rFonts w:hint="eastAsia" w:ascii="宋体" w:cs="宋体"/>
          <w:color w:val="auto"/>
          <w:sz w:val="28"/>
          <w:highlight w:val="none"/>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二</w:t>
      </w:r>
      <w:r>
        <w:rPr>
          <w:rFonts w:hint="eastAsia" w:ascii="宋体" w:hAnsi="Times New Roman" w:eastAsia="宋体" w:cs="宋体"/>
          <w:b w:val="0"/>
          <w:bCs w:val="0"/>
          <w:color w:val="auto"/>
          <w:highlight w:val="none"/>
          <w:lang w:eastAsia="zh-CN"/>
        </w:rPr>
        <w:t>）</w:t>
      </w:r>
    </w:p>
    <w:p w14:paraId="0CF2C264">
      <w:pPr>
        <w:numPr>
          <w:ilvl w:val="0"/>
          <w:numId w:val="0"/>
        </w:numPr>
        <w:spacing w:line="360" w:lineRule="auto"/>
        <w:jc w:val="center"/>
        <w:rPr>
          <w:rFonts w:hint="eastAsia" w:ascii="宋体" w:cs="宋体"/>
          <w:color w:val="auto"/>
          <w:highlight w:val="none"/>
        </w:rPr>
      </w:pPr>
      <w:r>
        <w:rPr>
          <w:rFonts w:hint="eastAsia" w:ascii="宋体" w:cs="宋体"/>
          <w:color w:val="auto"/>
          <w:sz w:val="28"/>
          <w:highlight w:val="none"/>
        </w:rPr>
        <w:t>法定代表人身份证明</w:t>
      </w:r>
    </w:p>
    <w:p w14:paraId="55EEBE51">
      <w:pPr>
        <w:jc w:val="center"/>
        <w:rPr>
          <w:rFonts w:hint="eastAsia" w:ascii="宋体" w:cs="宋体"/>
          <w:b/>
          <w:color w:val="auto"/>
          <w:sz w:val="28"/>
          <w:highlight w:val="none"/>
        </w:rPr>
      </w:pPr>
    </w:p>
    <w:p w14:paraId="52A0F16E">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64A8D412">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573"/>
        <w:jc w:val="distribute"/>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（法定代表人姓名</w:t>
      </w:r>
      <w:r>
        <w:rPr>
          <w:rFonts w:hint="eastAsia" w:ascii="宋体" w:hAnsi="宋体" w:cs="宋体"/>
          <w:color w:val="auto"/>
          <w:sz w:val="24"/>
          <w:highlight w:val="none"/>
          <w:lang w:val="en-US" w:eastAsia="zh-CN"/>
        </w:rPr>
        <w:t>及身份证号码</w:t>
      </w:r>
      <w:r>
        <w:rPr>
          <w:rFonts w:hint="eastAsia" w:ascii="宋体" w:hAnsi="宋体" w:cs="宋体"/>
          <w:color w:val="auto"/>
          <w:sz w:val="24"/>
          <w:highlight w:val="none"/>
          <w:lang w:eastAsia="zh-CN"/>
        </w:rPr>
        <w:t>）</w:t>
      </w:r>
      <w:r>
        <w:rPr>
          <w:rFonts w:hint="eastAsia" w:ascii="宋体" w:hAnsi="宋体" w:cs="宋体"/>
          <w:color w:val="auto"/>
          <w:sz w:val="24"/>
          <w:highlight w:val="none"/>
        </w:rPr>
        <w:t>在</w:t>
      </w:r>
    </w:p>
    <w:p w14:paraId="3D0BD7CF">
      <w:pPr>
        <w:keepNext w:val="0"/>
        <w:keepLines w:val="0"/>
        <w:pageBreakBefore w:val="0"/>
        <w:widowControl w:val="0"/>
        <w:tabs>
          <w:tab w:val="left" w:pos="6300"/>
        </w:tabs>
        <w:kinsoku/>
        <w:wordWrap/>
        <w:overflowPunct/>
        <w:topLinePunct w:val="0"/>
        <w:autoSpaceDE/>
        <w:autoSpaceDN/>
        <w:bidi w:val="0"/>
        <w:adjustRightInd/>
        <w:snapToGrid w:val="0"/>
        <w:spacing w:line="50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w:t>
      </w:r>
      <w:r>
        <w:rPr>
          <w:rFonts w:hint="eastAsia" w:ascii="宋体" w:hAnsi="宋体" w:cs="宋体"/>
          <w:color w:val="auto"/>
          <w:sz w:val="24"/>
          <w:highlight w:val="none"/>
          <w:u w:val="single"/>
        </w:rPr>
        <w:t>（</w:t>
      </w:r>
      <w:r>
        <w:rPr>
          <w:rFonts w:hint="eastAsia" w:ascii="宋体" w:hAnsi="宋体" w:cs="宋体"/>
          <w:color w:val="auto"/>
          <w:sz w:val="24"/>
          <w:highlight w:val="none"/>
          <w:u w:val="single"/>
          <w:lang w:val="en-US" w:eastAsia="zh-CN"/>
        </w:rPr>
        <w:t>竞选</w:t>
      </w:r>
      <w:r>
        <w:rPr>
          <w:rFonts w:hint="eastAsia" w:ascii="宋体" w:hAnsi="宋体" w:cs="宋体"/>
          <w:color w:val="auto"/>
          <w:sz w:val="24"/>
          <w:highlight w:val="none"/>
          <w:u w:val="single"/>
        </w:rPr>
        <w:t xml:space="preserve">人名称）              </w:t>
      </w:r>
      <w:r>
        <w:rPr>
          <w:rFonts w:hint="eastAsia" w:ascii="宋体" w:hAnsi="宋体" w:cs="宋体"/>
          <w:color w:val="auto"/>
          <w:sz w:val="24"/>
          <w:highlight w:val="none"/>
        </w:rPr>
        <w:t>的法定代表人。</w:t>
      </w:r>
    </w:p>
    <w:p w14:paraId="69A17BE3">
      <w:pPr>
        <w:tabs>
          <w:tab w:val="left" w:pos="6300"/>
        </w:tabs>
        <w:snapToGrid w:val="0"/>
        <w:spacing w:line="500" w:lineRule="exact"/>
        <w:ind w:firstLine="570"/>
        <w:rPr>
          <w:rFonts w:hint="eastAsia" w:ascii="宋体" w:hAnsi="宋体" w:cs="宋体"/>
          <w:color w:val="auto"/>
          <w:sz w:val="24"/>
          <w:highlight w:val="none"/>
        </w:rPr>
      </w:pPr>
    </w:p>
    <w:p w14:paraId="316B00FB">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特此证明。</w:t>
      </w:r>
    </w:p>
    <w:p w14:paraId="2C136049">
      <w:pPr>
        <w:tabs>
          <w:tab w:val="left" w:pos="6300"/>
        </w:tabs>
        <w:snapToGrid w:val="0"/>
        <w:spacing w:line="500" w:lineRule="exact"/>
        <w:ind w:firstLine="570"/>
        <w:rPr>
          <w:rFonts w:hint="eastAsia" w:ascii="宋体" w:hAnsi="宋体" w:cs="宋体"/>
          <w:color w:val="auto"/>
          <w:sz w:val="24"/>
          <w:highlight w:val="none"/>
        </w:rPr>
      </w:pPr>
    </w:p>
    <w:p w14:paraId="74C76E57">
      <w:pPr>
        <w:tabs>
          <w:tab w:val="left" w:pos="6300"/>
        </w:tabs>
        <w:snapToGrid w:val="0"/>
        <w:spacing w:line="500" w:lineRule="exact"/>
        <w:ind w:firstLine="570"/>
        <w:rPr>
          <w:rFonts w:hint="eastAsia" w:ascii="宋体" w:hAnsi="宋体" w:cs="宋体"/>
          <w:color w:val="auto"/>
          <w:sz w:val="24"/>
          <w:highlight w:val="none"/>
        </w:rPr>
      </w:pPr>
    </w:p>
    <w:p w14:paraId="66F92EF9">
      <w:pPr>
        <w:tabs>
          <w:tab w:val="left" w:pos="6300"/>
        </w:tabs>
        <w:snapToGrid w:val="0"/>
        <w:spacing w:line="500" w:lineRule="exact"/>
        <w:ind w:firstLine="570"/>
        <w:rPr>
          <w:rFonts w:hint="eastAsia" w:ascii="宋体" w:hAnsi="宋体" w:cs="宋体"/>
          <w:color w:val="auto"/>
          <w:sz w:val="24"/>
          <w:highlight w:val="none"/>
        </w:rPr>
      </w:pPr>
    </w:p>
    <w:p w14:paraId="0F40A27E">
      <w:pPr>
        <w:tabs>
          <w:tab w:val="left" w:pos="6300"/>
        </w:tabs>
        <w:snapToGrid w:val="0"/>
        <w:spacing w:line="500" w:lineRule="exact"/>
        <w:ind w:left="239" w:leftChars="114" w:firstLine="410" w:firstLineChars="171"/>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 xml:space="preserve">）                                             </w:t>
      </w:r>
    </w:p>
    <w:p w14:paraId="4FDCADCA">
      <w:pPr>
        <w:tabs>
          <w:tab w:val="left" w:pos="6300"/>
        </w:tabs>
        <w:snapToGrid w:val="0"/>
        <w:spacing w:line="500" w:lineRule="exact"/>
        <w:ind w:left="239" w:leftChars="114" w:firstLine="5928" w:firstLineChars="2470"/>
        <w:rPr>
          <w:rFonts w:hint="eastAsia" w:ascii="宋体" w:hAnsi="宋体" w:cs="宋体"/>
          <w:color w:val="auto"/>
          <w:sz w:val="24"/>
          <w:highlight w:val="none"/>
        </w:rPr>
      </w:pPr>
      <w:r>
        <w:rPr>
          <w:rFonts w:hint="eastAsia" w:ascii="宋体" w:hAnsi="宋体" w:cs="宋体"/>
          <w:color w:val="auto"/>
          <w:sz w:val="24"/>
          <w:highlight w:val="none"/>
        </w:rPr>
        <w:t>年   月   日</w:t>
      </w:r>
    </w:p>
    <w:p w14:paraId="055EBDEF">
      <w:pPr>
        <w:tabs>
          <w:tab w:val="left" w:pos="6300"/>
        </w:tabs>
        <w:snapToGrid w:val="0"/>
        <w:spacing w:line="500" w:lineRule="exact"/>
        <w:ind w:firstLine="570"/>
        <w:rPr>
          <w:rFonts w:hint="eastAsia" w:ascii="宋体" w:hAnsi="宋体" w:cs="宋体"/>
          <w:color w:val="auto"/>
          <w:sz w:val="24"/>
          <w:highlight w:val="none"/>
        </w:rPr>
      </w:pPr>
    </w:p>
    <w:p w14:paraId="5548F9C5">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法定代表人电话：XXXXXXX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电子邮箱：XXXXXX@XXXXX</w:t>
      </w:r>
    </w:p>
    <w:p w14:paraId="5F98409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（附：法定代表人身份证正反面复印件）</w:t>
      </w:r>
    </w:p>
    <w:p w14:paraId="46FA1F7F">
      <w:pPr>
        <w:tabs>
          <w:tab w:val="left" w:pos="6300"/>
        </w:tabs>
        <w:snapToGrid w:val="0"/>
        <w:spacing w:line="500" w:lineRule="exact"/>
        <w:ind w:firstLine="570"/>
        <w:rPr>
          <w:rFonts w:hint="eastAsia" w:ascii="宋体" w:hAnsi="宋体" w:cs="宋体"/>
          <w:color w:val="auto"/>
          <w:sz w:val="24"/>
          <w:highlight w:val="none"/>
        </w:rPr>
      </w:pPr>
    </w:p>
    <w:p w14:paraId="3838D71D">
      <w:pPr>
        <w:pageBreakBefore w:val="0"/>
        <w:kinsoku/>
        <w:overflowPunct/>
        <w:autoSpaceDE w:val="0"/>
        <w:autoSpaceDN w:val="0"/>
        <w:bidi w:val="0"/>
        <w:adjustRightInd w:val="0"/>
        <w:snapToGrid w:val="0"/>
        <w:spacing w:line="400" w:lineRule="exact"/>
        <w:jc w:val="center"/>
        <w:textAlignment w:val="auto"/>
        <w:rPr>
          <w:rFonts w:hint="eastAsia" w:ascii="宋体" w:cs="宋体"/>
          <w:b/>
          <w:color w:val="auto"/>
          <w:kern w:val="0"/>
          <w:sz w:val="28"/>
          <w:szCs w:val="28"/>
          <w:highlight w:val="none"/>
        </w:rPr>
        <w:sectPr>
          <w:headerReference r:id="rId3" w:type="default"/>
          <w:footerReference r:id="rId4" w:type="default"/>
          <w:pgSz w:w="11906" w:h="16838"/>
          <w:pgMar w:top="1304" w:right="1134" w:bottom="1304" w:left="130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0433C0C">
      <w:pPr>
        <w:autoSpaceDE w:val="0"/>
        <w:autoSpaceDN w:val="0"/>
        <w:adjustRightInd w:val="0"/>
        <w:snapToGrid w:val="0"/>
        <w:jc w:val="center"/>
        <w:rPr>
          <w:rFonts w:hint="eastAsia" w:ascii="宋体" w:cs="宋体"/>
          <w:color w:val="auto"/>
          <w:kern w:val="0"/>
          <w:sz w:val="20"/>
          <w:szCs w:val="20"/>
          <w:highlight w:val="none"/>
        </w:rPr>
      </w:pPr>
      <w:r>
        <w:rPr>
          <w:rFonts w:hint="eastAsia" w:ascii="宋体" w:cs="宋体"/>
          <w:color w:val="auto"/>
          <w:sz w:val="28"/>
          <w:highlight w:val="none"/>
          <w:lang w:val="en-US" w:eastAsia="zh-CN"/>
        </w:rPr>
        <w:t>法定代表人</w:t>
      </w:r>
      <w:r>
        <w:rPr>
          <w:rFonts w:hint="eastAsia" w:ascii="宋体" w:cs="宋体"/>
          <w:color w:val="auto"/>
          <w:sz w:val="28"/>
          <w:highlight w:val="none"/>
        </w:rPr>
        <w:t>授权委托书</w:t>
      </w:r>
    </w:p>
    <w:p w14:paraId="73DFFABC">
      <w:pPr>
        <w:autoSpaceDE w:val="0"/>
        <w:autoSpaceDN w:val="0"/>
        <w:adjustRightInd w:val="0"/>
        <w:snapToGrid w:val="0"/>
        <w:spacing w:line="480" w:lineRule="auto"/>
        <w:ind w:firstLine="400" w:firstLineChars="200"/>
        <w:jc w:val="left"/>
        <w:rPr>
          <w:rFonts w:hint="eastAsia" w:ascii="宋体" w:cs="宋体"/>
          <w:color w:val="auto"/>
          <w:kern w:val="0"/>
          <w:sz w:val="20"/>
          <w:szCs w:val="20"/>
          <w:highlight w:val="none"/>
        </w:rPr>
      </w:pPr>
    </w:p>
    <w:p w14:paraId="289E0613">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3F8BA790">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r>
        <w:rPr>
          <w:rFonts w:hint="eastAsia" w:ascii="宋体" w:hAnsi="宋体" w:cs="宋体"/>
          <w:color w:val="auto"/>
          <w:sz w:val="24"/>
          <w:highlight w:val="none"/>
          <w:lang w:val="en-US" w:eastAsia="zh-CN"/>
        </w:rPr>
        <w:t>姓名及身份证号码</w:t>
      </w:r>
      <w:r>
        <w:rPr>
          <w:rFonts w:hint="eastAsia" w:ascii="宋体" w:hAnsi="宋体" w:cs="宋体"/>
          <w:color w:val="auto"/>
          <w:sz w:val="24"/>
          <w:highlight w:val="none"/>
        </w:rPr>
        <w:t>）是</w:t>
      </w:r>
    </w:p>
    <w:p w14:paraId="2B5D5D23">
      <w:pPr>
        <w:tabs>
          <w:tab w:val="left" w:pos="6300"/>
        </w:tabs>
        <w:snapToGrid w:val="0"/>
        <w:spacing w:line="5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人名称）的法定代表人，特授权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w:t>
      </w:r>
      <w:r>
        <w:rPr>
          <w:rFonts w:hint="eastAsia" w:ascii="宋体" w:hAnsi="宋体" w:cs="宋体"/>
          <w:color w:val="auto"/>
          <w:sz w:val="24"/>
          <w:highlight w:val="none"/>
          <w:lang w:val="en-US" w:eastAsia="zh-CN"/>
        </w:rPr>
        <w:t>号</w:t>
      </w:r>
      <w:r>
        <w:rPr>
          <w:rFonts w:hint="eastAsia" w:ascii="宋体" w:hAnsi="宋体" w:cs="宋体"/>
          <w:color w:val="auto"/>
          <w:sz w:val="24"/>
          <w:highlight w:val="none"/>
        </w:rPr>
        <w:t>码）代表我单位全权办理</w:t>
      </w:r>
      <w:r>
        <w:rPr>
          <w:rFonts w:hint="eastAsia" w:ascii="宋体" w:cs="宋体"/>
          <w:color w:val="auto"/>
          <w:w w:val="200"/>
          <w:kern w:val="0"/>
          <w:szCs w:val="21"/>
          <w:highlight w:val="none"/>
          <w:u w:val="single"/>
        </w:rPr>
        <w:t xml:space="preserve">       </w:t>
      </w:r>
      <w:r>
        <w:rPr>
          <w:rFonts w:hint="eastAsia" w:ascii="宋体" w:hAnsi="宋体" w:eastAsia="宋体" w:cs="宋体"/>
          <w:color w:val="auto"/>
          <w:sz w:val="24"/>
          <w:highlight w:val="none"/>
          <w:u w:val="single"/>
        </w:rPr>
        <w:t xml:space="preserve"> （项目名称）（项目</w:t>
      </w:r>
      <w:r>
        <w:rPr>
          <w:rFonts w:hint="eastAsia" w:ascii="宋体" w:hAnsi="宋体" w:eastAsia="宋体" w:cs="宋体"/>
          <w:color w:val="auto"/>
          <w:sz w:val="24"/>
          <w:highlight w:val="none"/>
          <w:u w:val="single"/>
          <w:lang w:val="en-US" w:eastAsia="zh-CN"/>
        </w:rPr>
        <w:t>编</w:t>
      </w:r>
      <w:r>
        <w:rPr>
          <w:rFonts w:hint="eastAsia" w:ascii="宋体" w:hAnsi="宋体" w:eastAsia="宋体" w:cs="宋体"/>
          <w:color w:val="auto"/>
          <w:sz w:val="24"/>
          <w:highlight w:val="none"/>
          <w:u w:val="single"/>
        </w:rPr>
        <w:t>号）</w:t>
      </w:r>
      <w:r>
        <w:rPr>
          <w:rFonts w:hint="eastAsia" w:ascii="宋体" w:hAnsi="宋体" w:cs="宋体"/>
          <w:color w:val="auto"/>
          <w:sz w:val="24"/>
          <w:highlight w:val="none"/>
        </w:rPr>
        <w:t>的</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、谈判、签约等具体工作，并签署全部有关文件、协议及合同。</w:t>
      </w:r>
    </w:p>
    <w:p w14:paraId="106736D2">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我单位对被授权人的签署负全部责任。</w:t>
      </w:r>
    </w:p>
    <w:p w14:paraId="64E36ADA">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55DDB076">
      <w:pPr>
        <w:tabs>
          <w:tab w:val="left" w:pos="6300"/>
        </w:tabs>
        <w:snapToGrid w:val="0"/>
        <w:spacing w:line="500" w:lineRule="exact"/>
        <w:ind w:firstLine="570"/>
        <w:rPr>
          <w:rFonts w:hint="eastAsia" w:ascii="宋体" w:hAnsi="宋体" w:cs="宋体"/>
          <w:color w:val="auto"/>
          <w:sz w:val="24"/>
          <w:highlight w:val="none"/>
        </w:rPr>
      </w:pPr>
    </w:p>
    <w:p w14:paraId="0BF0280B">
      <w:pPr>
        <w:tabs>
          <w:tab w:val="left" w:pos="6300"/>
        </w:tabs>
        <w:snapToGrid w:val="0"/>
        <w:spacing w:line="500" w:lineRule="exact"/>
        <w:ind w:firstLine="570"/>
        <w:rPr>
          <w:rFonts w:hint="eastAsia" w:ascii="宋体" w:hAnsi="宋体" w:cs="宋体"/>
          <w:color w:val="auto"/>
          <w:sz w:val="24"/>
          <w:highlight w:val="none"/>
        </w:rPr>
      </w:pPr>
    </w:p>
    <w:p w14:paraId="2F48823A">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被授权人：                           </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p>
    <w:p w14:paraId="3825A1E9">
      <w:pPr>
        <w:tabs>
          <w:tab w:val="left" w:pos="6300"/>
        </w:tabs>
        <w:snapToGrid w:val="0"/>
        <w:spacing w:line="500" w:lineRule="exact"/>
        <w:ind w:firstLine="570"/>
        <w:rPr>
          <w:rFonts w:hint="eastAsia"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4CBE6815">
      <w:pPr>
        <w:tabs>
          <w:tab w:val="left" w:pos="6300"/>
        </w:tabs>
        <w:snapToGrid w:val="0"/>
        <w:spacing w:line="500" w:lineRule="exact"/>
        <w:ind w:firstLine="570"/>
        <w:rPr>
          <w:rFonts w:hint="eastAsia" w:ascii="宋体" w:hAnsi="宋体" w:cs="宋体"/>
          <w:color w:val="auto"/>
          <w:sz w:val="24"/>
          <w:szCs w:val="28"/>
          <w:highlight w:val="none"/>
        </w:rPr>
      </w:pPr>
    </w:p>
    <w:p w14:paraId="4A76271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（附：被授权人身份证正反面复印件）</w:t>
      </w:r>
    </w:p>
    <w:p w14:paraId="011CFDAD">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0A4EFB7">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261DE60">
      <w:pPr>
        <w:tabs>
          <w:tab w:val="left" w:pos="6300"/>
        </w:tabs>
        <w:snapToGrid w:val="0"/>
        <w:spacing w:line="500" w:lineRule="exact"/>
        <w:ind w:firstLine="570"/>
        <w:rPr>
          <w:rFonts w:hint="eastAsia" w:ascii="宋体" w:hAnsi="宋体" w:cs="宋体"/>
          <w:color w:val="auto"/>
          <w:sz w:val="24"/>
          <w:highlight w:val="none"/>
        </w:rPr>
      </w:pPr>
    </w:p>
    <w:p w14:paraId="279D96B8">
      <w:pPr>
        <w:tabs>
          <w:tab w:val="left" w:pos="6300"/>
        </w:tabs>
        <w:snapToGrid w:val="0"/>
        <w:spacing w:line="500" w:lineRule="exact"/>
        <w:ind w:firstLine="570"/>
        <w:rPr>
          <w:rFonts w:hint="eastAsia" w:ascii="宋体" w:hAnsi="宋体" w:cs="宋体"/>
          <w:color w:val="auto"/>
          <w:sz w:val="24"/>
          <w:highlight w:val="none"/>
        </w:rPr>
      </w:pPr>
    </w:p>
    <w:p w14:paraId="1DF25B0C">
      <w:pPr>
        <w:tabs>
          <w:tab w:val="left" w:pos="6300"/>
        </w:tabs>
        <w:snapToGrid w:val="0"/>
        <w:spacing w:line="500" w:lineRule="exact"/>
        <w:ind w:firstLine="570"/>
        <w:rPr>
          <w:rFonts w:hint="eastAsia" w:ascii="宋体" w:hAnsi="宋体" w:eastAsia="宋体" w:cs="宋体"/>
          <w:color w:val="auto"/>
          <w:sz w:val="24"/>
          <w:highlight w:val="none"/>
        </w:rPr>
      </w:pPr>
    </w:p>
    <w:p w14:paraId="5C80F832">
      <w:pPr>
        <w:tabs>
          <w:tab w:val="left" w:pos="6300"/>
        </w:tabs>
        <w:snapToGrid w:val="0"/>
        <w:spacing w:line="500" w:lineRule="exact"/>
        <w:jc w:val="right"/>
        <w:rPr>
          <w:rFonts w:hint="eastAsia" w:ascii="宋体" w:hAnsi="宋体" w:cs="宋体"/>
          <w:color w:val="auto"/>
          <w:sz w:val="24"/>
          <w:highlight w:val="none"/>
        </w:rPr>
      </w:pP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w:t>
      </w:r>
    </w:p>
    <w:p w14:paraId="53BE08C9">
      <w:pPr>
        <w:tabs>
          <w:tab w:val="left" w:pos="6300"/>
        </w:tabs>
        <w:snapToGrid w:val="0"/>
        <w:spacing w:line="500" w:lineRule="exact"/>
        <w:ind w:right="480" w:firstLine="570"/>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2AD0AE30">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被授权人电话：XXXXXXX     电子邮箱：XXXXXX@XXXXX</w:t>
      </w:r>
    </w:p>
    <w:p w14:paraId="05492195">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注：若为法定代表人办理并签署</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文件的，不提供此文件。</w:t>
      </w:r>
    </w:p>
    <w:p w14:paraId="687E72D9">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6AB3D487">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50606926">
      <w:pPr>
        <w:pageBreakBefore w:val="0"/>
        <w:numPr>
          <w:ilvl w:val="0"/>
          <w:numId w:val="0"/>
        </w:numPr>
        <w:kinsoku/>
        <w:overflowPunct/>
        <w:autoSpaceDE w:val="0"/>
        <w:autoSpaceDN w:val="0"/>
        <w:bidi w:val="0"/>
        <w:adjustRightInd w:val="0"/>
        <w:spacing w:line="400" w:lineRule="exact"/>
        <w:jc w:val="left"/>
        <w:textAlignment w:val="auto"/>
        <w:rPr>
          <w:rFonts w:hint="default" w:ascii="宋体" w:hAnsi="Times New Roman" w:eastAsia="宋体" w:cs="宋体"/>
          <w:b w:val="0"/>
          <w:bCs w:val="0"/>
          <w:color w:val="auto"/>
          <w:highlight w:val="none"/>
          <w:lang w:val="en-US" w:eastAsia="zh-CN"/>
        </w:rPr>
      </w:pPr>
      <w:bookmarkStart w:id="19" w:name="_Toc509218867"/>
      <w:bookmarkStart w:id="20" w:name="_Toc27983332"/>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三</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特定资格条件证明材料</w:t>
      </w:r>
      <w:r>
        <w:rPr>
          <w:rFonts w:hint="eastAsia" w:hAnsi="Times New Roman" w:eastAsia="宋体" w:cs="宋体"/>
          <w:b w:val="0"/>
          <w:bCs w:val="0"/>
          <w:color w:val="auto"/>
          <w:highlight w:val="none"/>
          <w:lang w:eastAsia="zh-CN"/>
        </w:rPr>
        <w:t>（格式自定）</w:t>
      </w:r>
    </w:p>
    <w:p w14:paraId="3177DE27">
      <w:pPr>
        <w:autoSpaceDE w:val="0"/>
        <w:autoSpaceDN w:val="0"/>
        <w:adjustRightInd w:val="0"/>
        <w:spacing w:line="400" w:lineRule="exact"/>
        <w:ind w:firstLine="480" w:firstLineChars="200"/>
        <w:jc w:val="left"/>
        <w:rPr>
          <w:rFonts w:hint="eastAsia" w:ascii="宋体"/>
          <w:kern w:val="0"/>
          <w:sz w:val="24"/>
        </w:rPr>
      </w:pPr>
    </w:p>
    <w:p w14:paraId="0C8A7BFA">
      <w:pPr>
        <w:autoSpaceDE w:val="0"/>
        <w:autoSpaceDN w:val="0"/>
        <w:adjustRightInd w:val="0"/>
        <w:spacing w:line="400" w:lineRule="exact"/>
        <w:ind w:firstLine="480" w:firstLineChars="200"/>
        <w:jc w:val="left"/>
        <w:rPr>
          <w:rFonts w:hint="eastAsia" w:ascii="宋体"/>
          <w:kern w:val="0"/>
          <w:sz w:val="24"/>
        </w:rPr>
      </w:pPr>
    </w:p>
    <w:p w14:paraId="66F3762A">
      <w:pPr>
        <w:autoSpaceDE w:val="0"/>
        <w:autoSpaceDN w:val="0"/>
        <w:adjustRightInd w:val="0"/>
        <w:spacing w:line="400" w:lineRule="exact"/>
        <w:ind w:firstLine="480" w:firstLineChars="200"/>
        <w:jc w:val="left"/>
        <w:rPr>
          <w:rFonts w:hint="eastAsia" w:ascii="宋体"/>
          <w:kern w:val="0"/>
          <w:sz w:val="24"/>
        </w:rPr>
      </w:pPr>
    </w:p>
    <w:p w14:paraId="110AE378">
      <w:pPr>
        <w:autoSpaceDE w:val="0"/>
        <w:autoSpaceDN w:val="0"/>
        <w:adjustRightInd w:val="0"/>
        <w:spacing w:line="400" w:lineRule="exact"/>
        <w:ind w:firstLine="480" w:firstLineChars="200"/>
        <w:jc w:val="left"/>
        <w:rPr>
          <w:rFonts w:hint="eastAsia" w:ascii="宋体"/>
          <w:kern w:val="0"/>
          <w:sz w:val="24"/>
        </w:rPr>
      </w:pPr>
    </w:p>
    <w:p w14:paraId="09D81BBA">
      <w:pPr>
        <w:autoSpaceDE w:val="0"/>
        <w:autoSpaceDN w:val="0"/>
        <w:adjustRightInd w:val="0"/>
        <w:spacing w:line="400" w:lineRule="exact"/>
        <w:ind w:firstLine="480" w:firstLineChars="200"/>
        <w:jc w:val="left"/>
        <w:rPr>
          <w:rFonts w:hint="eastAsia" w:ascii="宋体"/>
          <w:kern w:val="0"/>
          <w:sz w:val="24"/>
        </w:rPr>
      </w:pPr>
    </w:p>
    <w:p w14:paraId="389BB556">
      <w:pPr>
        <w:autoSpaceDE w:val="0"/>
        <w:autoSpaceDN w:val="0"/>
        <w:adjustRightInd w:val="0"/>
        <w:spacing w:line="400" w:lineRule="exact"/>
        <w:ind w:firstLine="480" w:firstLineChars="200"/>
        <w:jc w:val="left"/>
        <w:rPr>
          <w:rFonts w:hint="eastAsia" w:ascii="宋体"/>
          <w:kern w:val="0"/>
          <w:sz w:val="24"/>
        </w:rPr>
      </w:pPr>
    </w:p>
    <w:p w14:paraId="38B1EB28">
      <w:pPr>
        <w:autoSpaceDE w:val="0"/>
        <w:autoSpaceDN w:val="0"/>
        <w:adjustRightInd w:val="0"/>
        <w:spacing w:line="400" w:lineRule="exact"/>
        <w:ind w:firstLine="480" w:firstLineChars="200"/>
        <w:jc w:val="left"/>
        <w:rPr>
          <w:rFonts w:hint="eastAsia" w:ascii="宋体"/>
          <w:kern w:val="0"/>
          <w:sz w:val="24"/>
        </w:rPr>
      </w:pPr>
    </w:p>
    <w:p w14:paraId="5C5E82EB">
      <w:pPr>
        <w:autoSpaceDE w:val="0"/>
        <w:autoSpaceDN w:val="0"/>
        <w:adjustRightInd w:val="0"/>
        <w:spacing w:line="400" w:lineRule="exact"/>
        <w:ind w:firstLine="480" w:firstLineChars="200"/>
        <w:jc w:val="left"/>
        <w:rPr>
          <w:rFonts w:hint="eastAsia" w:ascii="宋体"/>
          <w:kern w:val="0"/>
          <w:sz w:val="24"/>
        </w:rPr>
      </w:pPr>
    </w:p>
    <w:p w14:paraId="7A1D661F">
      <w:pPr>
        <w:autoSpaceDE w:val="0"/>
        <w:autoSpaceDN w:val="0"/>
        <w:adjustRightInd w:val="0"/>
        <w:spacing w:line="400" w:lineRule="exact"/>
        <w:ind w:firstLine="480" w:firstLineChars="200"/>
        <w:jc w:val="left"/>
        <w:rPr>
          <w:rFonts w:hint="eastAsia" w:ascii="宋体"/>
          <w:kern w:val="0"/>
          <w:sz w:val="24"/>
        </w:rPr>
      </w:pPr>
    </w:p>
    <w:p w14:paraId="6BB0DBFE">
      <w:pPr>
        <w:autoSpaceDE w:val="0"/>
        <w:autoSpaceDN w:val="0"/>
        <w:adjustRightInd w:val="0"/>
        <w:spacing w:line="400" w:lineRule="exact"/>
        <w:ind w:firstLine="480" w:firstLineChars="200"/>
        <w:jc w:val="left"/>
        <w:rPr>
          <w:rFonts w:hint="eastAsia" w:ascii="宋体"/>
          <w:kern w:val="0"/>
          <w:sz w:val="24"/>
        </w:rPr>
      </w:pPr>
    </w:p>
    <w:p w14:paraId="40570E02">
      <w:pPr>
        <w:autoSpaceDE w:val="0"/>
        <w:autoSpaceDN w:val="0"/>
        <w:adjustRightInd w:val="0"/>
        <w:spacing w:line="400" w:lineRule="exact"/>
        <w:ind w:firstLine="480" w:firstLineChars="200"/>
        <w:jc w:val="left"/>
        <w:rPr>
          <w:rFonts w:hint="eastAsia" w:ascii="宋体"/>
          <w:kern w:val="0"/>
          <w:sz w:val="24"/>
        </w:rPr>
      </w:pPr>
    </w:p>
    <w:p w14:paraId="67CD2E90">
      <w:pPr>
        <w:autoSpaceDE w:val="0"/>
        <w:autoSpaceDN w:val="0"/>
        <w:adjustRightInd w:val="0"/>
        <w:spacing w:line="400" w:lineRule="exact"/>
        <w:ind w:firstLine="480" w:firstLineChars="200"/>
        <w:jc w:val="left"/>
        <w:rPr>
          <w:rFonts w:hint="eastAsia" w:ascii="宋体"/>
          <w:kern w:val="0"/>
          <w:sz w:val="24"/>
        </w:rPr>
      </w:pPr>
    </w:p>
    <w:p w14:paraId="3763914E">
      <w:pPr>
        <w:autoSpaceDE w:val="0"/>
        <w:autoSpaceDN w:val="0"/>
        <w:adjustRightInd w:val="0"/>
        <w:spacing w:line="400" w:lineRule="exact"/>
        <w:ind w:firstLine="480" w:firstLineChars="200"/>
        <w:jc w:val="left"/>
        <w:rPr>
          <w:rFonts w:hint="eastAsia" w:ascii="宋体"/>
          <w:kern w:val="0"/>
          <w:sz w:val="24"/>
        </w:rPr>
      </w:pPr>
    </w:p>
    <w:p w14:paraId="19E5C81E">
      <w:pPr>
        <w:autoSpaceDE w:val="0"/>
        <w:autoSpaceDN w:val="0"/>
        <w:adjustRightInd w:val="0"/>
        <w:spacing w:line="400" w:lineRule="exact"/>
        <w:ind w:firstLine="480" w:firstLineChars="200"/>
        <w:jc w:val="left"/>
        <w:rPr>
          <w:rFonts w:hint="eastAsia" w:ascii="宋体"/>
          <w:kern w:val="0"/>
          <w:sz w:val="24"/>
        </w:rPr>
      </w:pPr>
    </w:p>
    <w:p w14:paraId="033CD306">
      <w:pPr>
        <w:autoSpaceDE w:val="0"/>
        <w:autoSpaceDN w:val="0"/>
        <w:adjustRightInd w:val="0"/>
        <w:spacing w:line="400" w:lineRule="exact"/>
        <w:ind w:firstLine="480" w:firstLineChars="200"/>
        <w:jc w:val="left"/>
        <w:rPr>
          <w:rFonts w:hint="eastAsia" w:ascii="宋体"/>
          <w:kern w:val="0"/>
          <w:sz w:val="24"/>
        </w:rPr>
      </w:pPr>
    </w:p>
    <w:p w14:paraId="19CBFF3A">
      <w:pPr>
        <w:autoSpaceDE w:val="0"/>
        <w:autoSpaceDN w:val="0"/>
        <w:adjustRightInd w:val="0"/>
        <w:spacing w:line="400" w:lineRule="exact"/>
        <w:ind w:firstLine="480" w:firstLineChars="200"/>
        <w:jc w:val="left"/>
        <w:rPr>
          <w:rFonts w:hint="eastAsia" w:ascii="宋体"/>
          <w:kern w:val="0"/>
          <w:sz w:val="24"/>
        </w:rPr>
      </w:pPr>
    </w:p>
    <w:p w14:paraId="723FDD0D">
      <w:pPr>
        <w:autoSpaceDE w:val="0"/>
        <w:autoSpaceDN w:val="0"/>
        <w:adjustRightInd w:val="0"/>
        <w:spacing w:line="400" w:lineRule="exact"/>
        <w:ind w:firstLine="480" w:firstLineChars="200"/>
        <w:jc w:val="left"/>
        <w:rPr>
          <w:rFonts w:hint="eastAsia" w:ascii="宋体"/>
          <w:kern w:val="0"/>
          <w:sz w:val="24"/>
        </w:rPr>
      </w:pPr>
    </w:p>
    <w:p w14:paraId="59961247">
      <w:pPr>
        <w:autoSpaceDE w:val="0"/>
        <w:autoSpaceDN w:val="0"/>
        <w:adjustRightInd w:val="0"/>
        <w:spacing w:line="400" w:lineRule="exact"/>
        <w:ind w:firstLine="480" w:firstLineChars="200"/>
        <w:jc w:val="left"/>
        <w:rPr>
          <w:rFonts w:hint="eastAsia" w:ascii="宋体"/>
          <w:kern w:val="0"/>
          <w:sz w:val="24"/>
        </w:rPr>
      </w:pPr>
    </w:p>
    <w:p w14:paraId="28EBC505">
      <w:pPr>
        <w:autoSpaceDE w:val="0"/>
        <w:autoSpaceDN w:val="0"/>
        <w:adjustRightInd w:val="0"/>
        <w:spacing w:line="400" w:lineRule="exact"/>
        <w:ind w:firstLine="480" w:firstLineChars="200"/>
        <w:jc w:val="left"/>
        <w:rPr>
          <w:rFonts w:hint="eastAsia" w:ascii="宋体"/>
          <w:kern w:val="0"/>
          <w:sz w:val="24"/>
        </w:rPr>
      </w:pPr>
    </w:p>
    <w:p w14:paraId="7063BD37">
      <w:pPr>
        <w:autoSpaceDE w:val="0"/>
        <w:autoSpaceDN w:val="0"/>
        <w:adjustRightInd w:val="0"/>
        <w:spacing w:line="400" w:lineRule="exact"/>
        <w:ind w:firstLine="480" w:firstLineChars="200"/>
        <w:jc w:val="left"/>
        <w:rPr>
          <w:rFonts w:hint="eastAsia" w:ascii="宋体"/>
          <w:kern w:val="0"/>
          <w:sz w:val="24"/>
        </w:rPr>
      </w:pPr>
    </w:p>
    <w:p w14:paraId="1327D456">
      <w:pPr>
        <w:autoSpaceDE w:val="0"/>
        <w:autoSpaceDN w:val="0"/>
        <w:adjustRightInd w:val="0"/>
        <w:spacing w:line="400" w:lineRule="exact"/>
        <w:ind w:firstLine="480" w:firstLineChars="200"/>
        <w:jc w:val="left"/>
        <w:rPr>
          <w:rFonts w:hint="eastAsia" w:ascii="宋体"/>
          <w:kern w:val="0"/>
          <w:sz w:val="24"/>
        </w:rPr>
      </w:pPr>
    </w:p>
    <w:p w14:paraId="215E0193">
      <w:pPr>
        <w:autoSpaceDE w:val="0"/>
        <w:autoSpaceDN w:val="0"/>
        <w:adjustRightInd w:val="0"/>
        <w:spacing w:line="400" w:lineRule="exact"/>
        <w:ind w:firstLine="480" w:firstLineChars="200"/>
        <w:jc w:val="left"/>
        <w:rPr>
          <w:rFonts w:hint="eastAsia" w:ascii="宋体"/>
          <w:kern w:val="0"/>
          <w:sz w:val="24"/>
        </w:rPr>
      </w:pPr>
    </w:p>
    <w:p w14:paraId="6D235EE2">
      <w:pPr>
        <w:autoSpaceDE w:val="0"/>
        <w:autoSpaceDN w:val="0"/>
        <w:adjustRightInd w:val="0"/>
        <w:spacing w:line="400" w:lineRule="exact"/>
        <w:ind w:firstLine="480" w:firstLineChars="200"/>
        <w:jc w:val="left"/>
        <w:rPr>
          <w:rFonts w:hint="eastAsia" w:ascii="宋体"/>
          <w:kern w:val="0"/>
          <w:sz w:val="24"/>
        </w:rPr>
      </w:pPr>
    </w:p>
    <w:p w14:paraId="64581090">
      <w:pPr>
        <w:autoSpaceDE w:val="0"/>
        <w:autoSpaceDN w:val="0"/>
        <w:adjustRightInd w:val="0"/>
        <w:spacing w:line="400" w:lineRule="exact"/>
        <w:ind w:firstLine="480" w:firstLineChars="200"/>
        <w:jc w:val="left"/>
        <w:rPr>
          <w:rFonts w:hint="eastAsia" w:ascii="宋体"/>
          <w:kern w:val="0"/>
          <w:sz w:val="24"/>
        </w:rPr>
      </w:pPr>
    </w:p>
    <w:p w14:paraId="6FA42A7D">
      <w:pPr>
        <w:autoSpaceDE w:val="0"/>
        <w:autoSpaceDN w:val="0"/>
        <w:adjustRightInd w:val="0"/>
        <w:spacing w:line="400" w:lineRule="exact"/>
        <w:ind w:firstLine="480" w:firstLineChars="200"/>
        <w:jc w:val="left"/>
        <w:rPr>
          <w:rFonts w:hint="eastAsia" w:ascii="宋体"/>
          <w:kern w:val="0"/>
          <w:sz w:val="24"/>
        </w:rPr>
      </w:pPr>
    </w:p>
    <w:p w14:paraId="3D0BF6FF">
      <w:pPr>
        <w:autoSpaceDE w:val="0"/>
        <w:autoSpaceDN w:val="0"/>
        <w:adjustRightInd w:val="0"/>
        <w:spacing w:line="400" w:lineRule="exact"/>
        <w:ind w:firstLine="480" w:firstLineChars="200"/>
        <w:jc w:val="left"/>
        <w:rPr>
          <w:rFonts w:hint="eastAsia" w:ascii="宋体"/>
          <w:kern w:val="0"/>
          <w:sz w:val="24"/>
        </w:rPr>
      </w:pPr>
    </w:p>
    <w:p w14:paraId="7A789DC5">
      <w:pPr>
        <w:autoSpaceDE w:val="0"/>
        <w:autoSpaceDN w:val="0"/>
        <w:adjustRightInd w:val="0"/>
        <w:spacing w:line="400" w:lineRule="exact"/>
        <w:ind w:firstLine="480" w:firstLineChars="200"/>
        <w:jc w:val="left"/>
        <w:rPr>
          <w:rFonts w:hint="eastAsia" w:ascii="宋体"/>
          <w:kern w:val="0"/>
          <w:sz w:val="24"/>
        </w:rPr>
      </w:pPr>
    </w:p>
    <w:p w14:paraId="32297BA6">
      <w:pPr>
        <w:autoSpaceDE w:val="0"/>
        <w:autoSpaceDN w:val="0"/>
        <w:adjustRightInd w:val="0"/>
        <w:spacing w:line="400" w:lineRule="exact"/>
        <w:ind w:firstLine="480" w:firstLineChars="200"/>
        <w:jc w:val="left"/>
        <w:rPr>
          <w:rFonts w:hint="eastAsia" w:ascii="宋体"/>
          <w:kern w:val="0"/>
          <w:sz w:val="24"/>
        </w:rPr>
      </w:pPr>
    </w:p>
    <w:p w14:paraId="08A2B0F5">
      <w:pPr>
        <w:autoSpaceDE w:val="0"/>
        <w:autoSpaceDN w:val="0"/>
        <w:adjustRightInd w:val="0"/>
        <w:spacing w:line="400" w:lineRule="exact"/>
        <w:ind w:firstLine="480" w:firstLineChars="200"/>
        <w:jc w:val="left"/>
        <w:rPr>
          <w:rFonts w:hint="eastAsia" w:ascii="宋体"/>
          <w:kern w:val="0"/>
          <w:sz w:val="24"/>
        </w:rPr>
      </w:pPr>
    </w:p>
    <w:p w14:paraId="589F4262">
      <w:pPr>
        <w:autoSpaceDE w:val="0"/>
        <w:autoSpaceDN w:val="0"/>
        <w:adjustRightInd w:val="0"/>
        <w:spacing w:line="400" w:lineRule="exact"/>
        <w:ind w:firstLine="480" w:firstLineChars="200"/>
        <w:jc w:val="left"/>
        <w:rPr>
          <w:rFonts w:hint="eastAsia" w:ascii="宋体"/>
          <w:kern w:val="0"/>
          <w:sz w:val="24"/>
        </w:rPr>
      </w:pPr>
    </w:p>
    <w:p w14:paraId="4AA7B1A0">
      <w:pPr>
        <w:autoSpaceDE w:val="0"/>
        <w:autoSpaceDN w:val="0"/>
        <w:adjustRightInd w:val="0"/>
        <w:spacing w:line="400" w:lineRule="exact"/>
        <w:ind w:firstLine="480" w:firstLineChars="200"/>
        <w:jc w:val="left"/>
        <w:rPr>
          <w:rFonts w:hint="eastAsia" w:ascii="宋体"/>
          <w:kern w:val="0"/>
          <w:sz w:val="24"/>
        </w:rPr>
      </w:pPr>
    </w:p>
    <w:p w14:paraId="33BE7568">
      <w:pPr>
        <w:autoSpaceDE w:val="0"/>
        <w:autoSpaceDN w:val="0"/>
        <w:adjustRightInd w:val="0"/>
        <w:spacing w:line="400" w:lineRule="exact"/>
        <w:ind w:firstLine="480" w:firstLineChars="200"/>
        <w:jc w:val="left"/>
        <w:rPr>
          <w:rFonts w:hint="eastAsia" w:ascii="宋体"/>
          <w:kern w:val="0"/>
          <w:sz w:val="24"/>
        </w:rPr>
      </w:pPr>
    </w:p>
    <w:p w14:paraId="62F66714">
      <w:pPr>
        <w:autoSpaceDE w:val="0"/>
        <w:autoSpaceDN w:val="0"/>
        <w:adjustRightInd w:val="0"/>
        <w:spacing w:line="400" w:lineRule="exact"/>
        <w:ind w:firstLine="480" w:firstLineChars="200"/>
        <w:jc w:val="left"/>
        <w:rPr>
          <w:rFonts w:hint="eastAsia" w:ascii="宋体"/>
          <w:kern w:val="0"/>
          <w:sz w:val="24"/>
        </w:rPr>
      </w:pPr>
    </w:p>
    <w:p w14:paraId="3B89F7D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（四）</w:t>
      </w:r>
      <w:r>
        <w:rPr>
          <w:rFonts w:hint="eastAsia" w:ascii="宋体"/>
          <w:color w:val="auto"/>
          <w:highlight w:val="none"/>
          <w:lang w:val="en-US" w:eastAsia="zh-CN"/>
        </w:rPr>
        <w:t>其他资质（格式自定）</w:t>
      </w:r>
    </w:p>
    <w:p w14:paraId="1F0294C4">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59EA29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F7837C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76122A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C31AD8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3C8732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D31526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D2D3A7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E8D2C1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F7D583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57B5E9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2E6E65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B5781F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47682D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1AEE74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D7D1B4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3FD055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C8CB77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3135DA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9E46FF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A380DC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5EA703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287D7B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7F9405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05EC43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D126F2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860843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55DD93B">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0B2C7F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46EDB9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AF11FC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F8C268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A221B8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B944BA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五</w:t>
      </w:r>
      <w:r>
        <w:rPr>
          <w:rFonts w:hint="eastAsia" w:ascii="宋体" w:hAnsi="Times New Roman" w:eastAsia="宋体" w:cs="宋体"/>
          <w:b w:val="0"/>
          <w:bCs w:val="0"/>
          <w:color w:val="auto"/>
          <w:highlight w:val="none"/>
          <w:lang w:eastAsia="zh-CN"/>
        </w:rPr>
        <w:t>）承诺</w:t>
      </w:r>
    </w:p>
    <w:p w14:paraId="729BFA00">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rPr>
      </w:pPr>
      <w:r>
        <w:rPr>
          <w:rFonts w:hint="eastAsia" w:ascii="宋体" w:hAnsi="Times New Roman" w:eastAsia="宋体" w:cs="宋体"/>
          <w:color w:val="auto"/>
          <w:sz w:val="36"/>
          <w:szCs w:val="36"/>
          <w:highlight w:val="none"/>
        </w:rPr>
        <w:t>基本资格条件承诺函</w:t>
      </w:r>
    </w:p>
    <w:p w14:paraId="33236372">
      <w:pPr>
        <w:pStyle w:val="2"/>
        <w:pageBreakBefore w:val="0"/>
        <w:kinsoku/>
        <w:overflowPunct/>
        <w:bidi w:val="0"/>
        <w:spacing w:before="0" w:after="0" w:line="400" w:lineRule="exact"/>
        <w:textAlignment w:val="auto"/>
        <w:rPr>
          <w:color w:val="auto"/>
          <w:sz w:val="24"/>
          <w:highlight w:val="none"/>
        </w:rPr>
      </w:pPr>
    </w:p>
    <w:p w14:paraId="6322CC2F">
      <w:pPr>
        <w:pageBreakBefore w:val="0"/>
        <w:kinsoku/>
        <w:overflowPunct/>
        <w:bidi w:val="0"/>
        <w:spacing w:line="400" w:lineRule="exact"/>
        <w:textAlignment w:val="auto"/>
        <w:rPr>
          <w:color w:val="auto"/>
          <w:highlight w:val="none"/>
        </w:rPr>
      </w:pPr>
    </w:p>
    <w:p w14:paraId="7F55BBD5">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5EDE6C85">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竞选人</w:t>
      </w:r>
      <w:r>
        <w:rPr>
          <w:rFonts w:hint="eastAsia" w:ascii="宋体" w:hAnsi="宋体" w:cs="宋体"/>
          <w:color w:val="auto"/>
          <w:sz w:val="24"/>
          <w:szCs w:val="24"/>
          <w:highlight w:val="none"/>
        </w:rPr>
        <w:t>）郑重承诺：</w:t>
      </w:r>
    </w:p>
    <w:p w14:paraId="79F86921">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我方目前生产经营状态正常，没有被有权机关吊销营业执照、吊销经营许可、责令停业、暂停或取消投标资格、以及财产被接管或冻结情况。</w:t>
      </w:r>
    </w:p>
    <w:p w14:paraId="1E9D0FD9">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 xml:space="preserve">我方没有直接或间接地与 </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为</w:t>
      </w:r>
      <w:r>
        <w:rPr>
          <w:rFonts w:hint="eastAsia"/>
          <w:sz w:val="24"/>
          <w:szCs w:val="24"/>
          <w:lang w:eastAsia="zh-CN"/>
        </w:rPr>
        <w:t>遴选</w:t>
      </w:r>
      <w:r>
        <w:rPr>
          <w:rFonts w:hint="eastAsia"/>
          <w:sz w:val="24"/>
          <w:szCs w:val="24"/>
        </w:rPr>
        <w:t>本次</w:t>
      </w:r>
      <w:r>
        <w:rPr>
          <w:rFonts w:hint="eastAsia"/>
          <w:sz w:val="24"/>
          <w:szCs w:val="24"/>
          <w:lang w:eastAsia="zh-CN"/>
        </w:rPr>
        <w:t>耗材</w:t>
      </w:r>
      <w:r>
        <w:rPr>
          <w:rFonts w:hint="eastAsia"/>
          <w:sz w:val="24"/>
          <w:szCs w:val="24"/>
        </w:rPr>
        <w:t>进行设计、编制规范</w:t>
      </w:r>
      <w:r>
        <w:rPr>
          <w:rFonts w:hint="eastAsia"/>
          <w:sz w:val="24"/>
          <w:szCs w:val="24"/>
          <w:lang w:eastAsia="zh-CN"/>
        </w:rPr>
        <w:t>、临床试用、专家评审等流程</w:t>
      </w:r>
      <w:r>
        <w:rPr>
          <w:rFonts w:hint="eastAsia"/>
          <w:sz w:val="24"/>
          <w:szCs w:val="24"/>
        </w:rPr>
        <w:t>有任何关联。</w:t>
      </w:r>
    </w:p>
    <w:p w14:paraId="7068D914">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我方不是与</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存在利害关系可能影响入围遴选公正性的法人、其他组织或者个人。</w:t>
      </w:r>
    </w:p>
    <w:p w14:paraId="60854027">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我方单位负责人为同一人或者存在控股、管理关系的不同单位，没有同时参加同一</w:t>
      </w:r>
      <w:r>
        <w:rPr>
          <w:rFonts w:hint="eastAsia"/>
          <w:sz w:val="24"/>
          <w:szCs w:val="24"/>
          <w:lang w:eastAsia="zh-CN"/>
        </w:rPr>
        <w:t>项目耗材遴选</w:t>
      </w:r>
      <w:r>
        <w:rPr>
          <w:rFonts w:hint="eastAsia"/>
          <w:sz w:val="24"/>
          <w:szCs w:val="24"/>
        </w:rPr>
        <w:t>。</w:t>
      </w:r>
    </w:p>
    <w:p w14:paraId="63C5CC6C">
      <w:pPr>
        <w:pStyle w:val="22"/>
        <w:numPr>
          <w:ilvl w:val="0"/>
          <w:numId w:val="5"/>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我方提交的所有申请资料及承诺书无弄虚作假。我</w:t>
      </w:r>
      <w:r>
        <w:rPr>
          <w:rFonts w:hint="eastAsia"/>
          <w:sz w:val="24"/>
          <w:szCs w:val="24"/>
        </w:rPr>
        <w:t>方具有良好的商业信誉和健全的财务会计制度，具有履行合同所必需的设备和专业技术能力，</w:t>
      </w:r>
      <w:r>
        <w:rPr>
          <w:rFonts w:hint="eastAsia"/>
          <w:sz w:val="24"/>
          <w:szCs w:val="24"/>
          <w:lang w:val="zh-CN" w:eastAsia="zh-Hans"/>
        </w:rPr>
        <w:t>具有依法缴纳税收和社会保障金的良好记录</w:t>
      </w:r>
      <w:r>
        <w:rPr>
          <w:rFonts w:hint="eastAsia"/>
          <w:sz w:val="24"/>
          <w:szCs w:val="24"/>
        </w:rPr>
        <w:t>。我方</w:t>
      </w:r>
      <w:r>
        <w:rPr>
          <w:rFonts w:hint="eastAsia"/>
          <w:sz w:val="24"/>
          <w:szCs w:val="24"/>
          <w:lang w:val="en-US" w:eastAsia="zh-Hans"/>
        </w:rPr>
        <w:t>参加</w:t>
      </w:r>
      <w:r>
        <w:rPr>
          <w:rFonts w:hint="eastAsia"/>
          <w:sz w:val="24"/>
          <w:szCs w:val="24"/>
          <w:lang w:val="en-US" w:eastAsia="zh-CN"/>
        </w:rPr>
        <w:t>本次</w:t>
      </w:r>
      <w:r>
        <w:rPr>
          <w:rFonts w:hint="eastAsia"/>
          <w:sz w:val="24"/>
          <w:szCs w:val="24"/>
          <w:lang w:val="en-US" w:eastAsia="zh-Hans"/>
        </w:rPr>
        <w:t>采购活动前三年内，在经营活动中没有重大违法记录</w:t>
      </w:r>
      <w:r>
        <w:rPr>
          <w:rFonts w:hint="eastAsia"/>
          <w:sz w:val="24"/>
          <w:szCs w:val="24"/>
          <w:lang w:val="en-US" w:eastAsia="zh-CN"/>
        </w:rPr>
        <w:t>。</w:t>
      </w:r>
    </w:p>
    <w:p w14:paraId="445C3A8A">
      <w:pPr>
        <w:pStyle w:val="22"/>
        <w:numPr>
          <w:ilvl w:val="0"/>
          <w:numId w:val="5"/>
        </w:numPr>
        <w:spacing w:before="156" w:beforeLines="50" w:line="360" w:lineRule="auto"/>
        <w:ind w:left="0" w:firstLine="560" w:firstLineChars="0"/>
        <w:rPr>
          <w:rFonts w:hint="eastAsia" w:ascii="宋体" w:hAnsi="宋体" w:cs="宋体"/>
          <w:color w:val="auto"/>
          <w:sz w:val="24"/>
          <w:szCs w:val="24"/>
          <w:highlight w:val="none"/>
        </w:rPr>
      </w:pPr>
      <w:r>
        <w:rPr>
          <w:rFonts w:hint="eastAsia"/>
          <w:sz w:val="24"/>
          <w:szCs w:val="24"/>
          <w:lang w:val="en-US" w:eastAsia="zh-CN"/>
        </w:rPr>
        <w:t>我方在采购项目评审（评标）环节结束后，随时接受配合医院提供相关证明材料，证明我方符合《中华人民共和国政府采购法》、《医疗机构医用耗材管理办法（试行）》相关规定条件。</w:t>
      </w:r>
    </w:p>
    <w:p w14:paraId="4C97FEAE">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226BD7CD">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1F061CB5">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p>
    <w:p w14:paraId="048B04DA">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0CFA8170">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72D805DB">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4154E995">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p w14:paraId="522E28DE">
      <w:pPr>
        <w:pageBreakBefore w:val="0"/>
        <w:kinsoku/>
        <w:overflowPunct/>
        <w:bidi w:val="0"/>
        <w:spacing w:line="400" w:lineRule="exact"/>
        <w:textAlignment w:val="auto"/>
        <w:rPr>
          <w:rFonts w:hint="default"/>
          <w:color w:val="auto"/>
          <w:highlight w:val="none"/>
          <w:lang w:val="en-US" w:eastAsia="zh-CN"/>
        </w:rPr>
      </w:pPr>
    </w:p>
    <w:p w14:paraId="6F4703CC">
      <w:pPr>
        <w:pStyle w:val="2"/>
        <w:pageBreakBefore w:val="0"/>
        <w:kinsoku/>
        <w:overflowPunct/>
        <w:bidi w:val="0"/>
        <w:spacing w:before="0" w:after="0" w:line="400" w:lineRule="exact"/>
        <w:textAlignment w:val="auto"/>
        <w:rPr>
          <w:rFonts w:hint="default"/>
          <w:color w:val="auto"/>
          <w:highlight w:val="none"/>
          <w:lang w:val="en-US" w:eastAsia="zh-CN"/>
        </w:rPr>
      </w:pPr>
    </w:p>
    <w:p w14:paraId="7987EEA3">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44539DDA">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4EE1D317">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实质性响应承诺函</w:t>
      </w:r>
    </w:p>
    <w:p w14:paraId="3610BE75">
      <w:pPr>
        <w:pageBreakBefore w:val="0"/>
        <w:widowControl/>
        <w:numPr>
          <w:ilvl w:val="0"/>
          <w:numId w:val="0"/>
        </w:numPr>
        <w:kinsoku/>
        <w:overflowPunct/>
        <w:bidi w:val="0"/>
        <w:spacing w:line="400" w:lineRule="exact"/>
        <w:jc w:val="left"/>
        <w:textAlignment w:val="auto"/>
        <w:rPr>
          <w:rFonts w:hint="eastAsia" w:eastAsia="黑体"/>
          <w:color w:val="auto"/>
          <w:sz w:val="28"/>
          <w:szCs w:val="20"/>
          <w:highlight w:val="none"/>
          <w:lang w:val="en-US" w:eastAsia="zh-CN"/>
        </w:rPr>
      </w:pPr>
    </w:p>
    <w:p w14:paraId="41262655">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20A4E345">
      <w:pPr>
        <w:pStyle w:val="2"/>
        <w:rPr>
          <w:rFonts w:hint="eastAsia"/>
          <w:lang w:val="en-US" w:eastAsia="zh-CN"/>
        </w:rPr>
      </w:pPr>
    </w:p>
    <w:p w14:paraId="704C2E66">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u w:val="single"/>
          <w:lang w:val="en-US" w:eastAsia="zh-CN"/>
        </w:rPr>
        <w:t xml:space="preserve">       （竞选人名称）    </w:t>
      </w:r>
      <w:r>
        <w:rPr>
          <w:rFonts w:hint="eastAsia" w:ascii="宋体" w:hAnsi="宋体" w:eastAsia="宋体" w:cs="宋体"/>
          <w:color w:val="auto"/>
          <w:sz w:val="24"/>
          <w:szCs w:val="24"/>
          <w:highlight w:val="none"/>
          <w:lang w:val="en-US" w:eastAsia="zh-CN"/>
        </w:rPr>
        <w:t>参加了贵单位</w:t>
      </w:r>
      <w:r>
        <w:rPr>
          <w:rFonts w:hint="eastAsia" w:ascii="宋体" w:hAnsi="宋体" w:eastAsia="宋体" w:cs="宋体"/>
          <w:color w:val="auto"/>
          <w:sz w:val="24"/>
          <w:szCs w:val="24"/>
          <w:highlight w:val="none"/>
          <w:u w:val="single"/>
          <w:lang w:val="en-US" w:eastAsia="zh-CN"/>
        </w:rPr>
        <w:t xml:space="preserve">                （项目名称）（项目号）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的竞选，若我公司中选，自愿</w:t>
      </w:r>
      <w:r>
        <w:rPr>
          <w:rFonts w:hint="eastAsia" w:ascii="宋体" w:hAnsi="宋体" w:eastAsia="宋体" w:cs="宋体"/>
          <w:color w:val="auto"/>
          <w:sz w:val="24"/>
          <w:szCs w:val="24"/>
          <w:highlight w:val="none"/>
          <w:lang w:val="en-US" w:eastAsia="zh-Hans"/>
        </w:rPr>
        <w:t>对</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en-US" w:eastAsia="zh-Hans"/>
        </w:rPr>
        <w:t>文件</w:t>
      </w:r>
      <w:r>
        <w:rPr>
          <w:rFonts w:hint="eastAsia" w:ascii="宋体" w:hAnsi="宋体" w:eastAsia="宋体" w:cs="宋体"/>
          <w:color w:val="auto"/>
          <w:sz w:val="24"/>
          <w:szCs w:val="24"/>
          <w:highlight w:val="none"/>
          <w:u w:val="single"/>
          <w:lang w:val="en-US" w:eastAsia="zh-Hans"/>
        </w:rPr>
        <w:t>第</w:t>
      </w:r>
      <w:r>
        <w:rPr>
          <w:rFonts w:hint="eastAsia" w:ascii="宋体" w:hAnsi="宋体" w:eastAsia="宋体" w:cs="宋体"/>
          <w:color w:val="auto"/>
          <w:sz w:val="24"/>
          <w:szCs w:val="24"/>
          <w:highlight w:val="none"/>
          <w:u w:val="single"/>
          <w:lang w:val="en-US" w:eastAsia="zh-CN"/>
        </w:rPr>
        <w:t>二章</w:t>
      </w:r>
      <w:r>
        <w:rPr>
          <w:rFonts w:hint="eastAsia" w:ascii="宋体" w:hAnsi="宋体" w:eastAsia="宋体" w:cs="宋体"/>
          <w:color w:val="auto"/>
          <w:sz w:val="24"/>
          <w:szCs w:val="24"/>
          <w:highlight w:val="none"/>
          <w:lang w:val="en-US" w:eastAsia="zh-Hans"/>
        </w:rPr>
        <w:t>规定的全部内容作出</w:t>
      </w:r>
      <w:r>
        <w:rPr>
          <w:rFonts w:hint="eastAsia" w:ascii="宋体" w:hAnsi="宋体" w:eastAsia="宋体" w:cs="宋体"/>
          <w:color w:val="auto"/>
          <w:sz w:val="24"/>
          <w:szCs w:val="24"/>
          <w:highlight w:val="none"/>
          <w:lang w:val="en-US" w:eastAsia="zh-CN"/>
        </w:rPr>
        <w:t>实质性</w:t>
      </w:r>
      <w:r>
        <w:rPr>
          <w:rFonts w:hint="eastAsia" w:ascii="宋体" w:hAnsi="宋体" w:eastAsia="宋体" w:cs="宋体"/>
          <w:color w:val="auto"/>
          <w:sz w:val="24"/>
          <w:szCs w:val="24"/>
          <w:highlight w:val="none"/>
          <w:lang w:val="en-US" w:eastAsia="zh-Hans"/>
        </w:rPr>
        <w:t>响应</w:t>
      </w:r>
      <w:r>
        <w:rPr>
          <w:rFonts w:hint="eastAsia" w:ascii="宋体" w:hAnsi="宋体" w:eastAsia="宋体" w:cs="宋体"/>
          <w:color w:val="auto"/>
          <w:sz w:val="24"/>
          <w:szCs w:val="24"/>
          <w:highlight w:val="none"/>
          <w:lang w:val="en-US" w:eastAsia="zh-CN"/>
        </w:rPr>
        <w:t>承诺,相关要求全部纳入合同约定条款中。</w:t>
      </w:r>
    </w:p>
    <w:p w14:paraId="56855A5C">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特此承诺！</w:t>
      </w:r>
    </w:p>
    <w:p w14:paraId="0545D2DF">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413BC728">
      <w:pPr>
        <w:pageBreakBefore w:val="0"/>
        <w:widowControl/>
        <w:numPr>
          <w:ilvl w:val="0"/>
          <w:numId w:val="0"/>
        </w:numPr>
        <w:kinsoku/>
        <w:overflowPunct/>
        <w:bidi w:val="0"/>
        <w:spacing w:line="400" w:lineRule="exact"/>
        <w:ind w:firstLine="640" w:firstLineChars="200"/>
        <w:jc w:val="left"/>
        <w:textAlignment w:val="auto"/>
        <w:rPr>
          <w:rFonts w:hint="eastAsia" w:ascii="方正仿宋_GBK" w:hAnsi="方正仿宋_GBK" w:eastAsia="方正仿宋_GBK" w:cs="方正仿宋_GBK"/>
          <w:snapToGrid/>
          <w:color w:val="auto"/>
          <w:kern w:val="2"/>
          <w:sz w:val="32"/>
          <w:szCs w:val="32"/>
          <w:highlight w:val="none"/>
          <w:lang w:val="en-US" w:eastAsia="zh-CN"/>
        </w:rPr>
      </w:pPr>
    </w:p>
    <w:p w14:paraId="78A548D4">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方正仿宋_GBK" w:hAnsi="方正仿宋_GBK" w:eastAsia="方正仿宋_GBK" w:cs="方正仿宋_GBK"/>
          <w:snapToGrid/>
          <w:color w:val="auto"/>
          <w:kern w:val="2"/>
          <w:sz w:val="32"/>
          <w:szCs w:val="32"/>
          <w:highlight w:val="none"/>
          <w:lang w:val="en-US" w:eastAsia="zh-CN"/>
        </w:rPr>
        <w:t xml:space="preserve">            </w:t>
      </w: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0629E2AE">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84B47C0">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lang w:val="en-US" w:eastAsia="zh-CN"/>
        </w:rPr>
        <w:t xml:space="preserve"> </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71474343">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bookmarkEnd w:id="19"/>
    <w:bookmarkEnd w:id="20"/>
    <w:p w14:paraId="341ECA0B">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663C52D">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BD26A02">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F219B0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D4FDCAD">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F4F820C">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61BE0129">
      <w:pPr>
        <w:pStyle w:val="13"/>
        <w:pageBreakBefore w:val="0"/>
        <w:kinsoku/>
        <w:overflowPunct/>
        <w:bidi w:val="0"/>
        <w:spacing w:after="0" w:line="400" w:lineRule="exact"/>
        <w:textAlignment w:val="auto"/>
        <w:rPr>
          <w:rFonts w:hint="eastAsia"/>
          <w:color w:val="auto"/>
          <w:highlight w:val="none"/>
        </w:rPr>
      </w:pPr>
    </w:p>
    <w:p w14:paraId="4C8B999B">
      <w:pPr>
        <w:pStyle w:val="13"/>
        <w:pageBreakBefore w:val="0"/>
        <w:kinsoku/>
        <w:overflowPunct/>
        <w:bidi w:val="0"/>
        <w:spacing w:after="0" w:line="400" w:lineRule="exact"/>
        <w:textAlignment w:val="auto"/>
        <w:rPr>
          <w:rFonts w:hint="eastAsia"/>
          <w:color w:val="auto"/>
          <w:highlight w:val="none"/>
        </w:rPr>
      </w:pPr>
    </w:p>
    <w:p w14:paraId="5A42105C">
      <w:pPr>
        <w:pStyle w:val="13"/>
        <w:pageBreakBefore w:val="0"/>
        <w:kinsoku/>
        <w:overflowPunct/>
        <w:bidi w:val="0"/>
        <w:spacing w:after="0" w:line="400" w:lineRule="exact"/>
        <w:textAlignment w:val="auto"/>
        <w:rPr>
          <w:rFonts w:hint="eastAsia"/>
          <w:color w:val="auto"/>
          <w:highlight w:val="none"/>
        </w:rPr>
      </w:pPr>
    </w:p>
    <w:p w14:paraId="6BDB36A5">
      <w:pPr>
        <w:pStyle w:val="13"/>
        <w:pageBreakBefore w:val="0"/>
        <w:kinsoku/>
        <w:overflowPunct/>
        <w:bidi w:val="0"/>
        <w:spacing w:after="0" w:line="400" w:lineRule="exact"/>
        <w:textAlignment w:val="auto"/>
        <w:rPr>
          <w:rFonts w:hint="eastAsia"/>
          <w:color w:val="auto"/>
          <w:highlight w:val="none"/>
        </w:rPr>
      </w:pPr>
    </w:p>
    <w:p w14:paraId="396378C6">
      <w:pPr>
        <w:pStyle w:val="13"/>
        <w:pageBreakBefore w:val="0"/>
        <w:kinsoku/>
        <w:overflowPunct/>
        <w:bidi w:val="0"/>
        <w:spacing w:after="0" w:line="400" w:lineRule="exact"/>
        <w:textAlignment w:val="auto"/>
        <w:rPr>
          <w:rFonts w:hint="eastAsia"/>
          <w:color w:val="auto"/>
          <w:highlight w:val="none"/>
        </w:rPr>
      </w:pPr>
    </w:p>
    <w:p w14:paraId="771CC687">
      <w:pPr>
        <w:pStyle w:val="13"/>
        <w:pageBreakBefore w:val="0"/>
        <w:kinsoku/>
        <w:overflowPunct/>
        <w:bidi w:val="0"/>
        <w:spacing w:after="0" w:line="400" w:lineRule="exact"/>
        <w:textAlignment w:val="auto"/>
        <w:rPr>
          <w:rFonts w:hint="eastAsia"/>
          <w:color w:val="auto"/>
          <w:highlight w:val="none"/>
        </w:rPr>
      </w:pPr>
    </w:p>
    <w:p w14:paraId="04CF2842">
      <w:pPr>
        <w:pStyle w:val="13"/>
        <w:pageBreakBefore w:val="0"/>
        <w:kinsoku/>
        <w:overflowPunct/>
        <w:bidi w:val="0"/>
        <w:spacing w:after="0" w:line="400" w:lineRule="exact"/>
        <w:textAlignment w:val="auto"/>
        <w:rPr>
          <w:rFonts w:hint="eastAsia"/>
          <w:color w:val="auto"/>
          <w:highlight w:val="none"/>
        </w:rPr>
      </w:pPr>
    </w:p>
    <w:p w14:paraId="2DCEE1BD">
      <w:pPr>
        <w:pStyle w:val="13"/>
        <w:pageBreakBefore w:val="0"/>
        <w:kinsoku/>
        <w:overflowPunct/>
        <w:bidi w:val="0"/>
        <w:spacing w:after="0" w:line="400" w:lineRule="exact"/>
        <w:textAlignment w:val="auto"/>
        <w:rPr>
          <w:rFonts w:hint="eastAsia"/>
          <w:color w:val="auto"/>
          <w:highlight w:val="none"/>
        </w:rPr>
      </w:pPr>
    </w:p>
    <w:p w14:paraId="2AC24CC3">
      <w:pPr>
        <w:pStyle w:val="13"/>
        <w:pageBreakBefore w:val="0"/>
        <w:kinsoku/>
        <w:overflowPunct/>
        <w:bidi w:val="0"/>
        <w:spacing w:after="0" w:line="400" w:lineRule="exact"/>
        <w:textAlignment w:val="auto"/>
        <w:rPr>
          <w:rFonts w:hint="eastAsia"/>
          <w:color w:val="auto"/>
          <w:highlight w:val="none"/>
        </w:rPr>
      </w:pPr>
    </w:p>
    <w:p w14:paraId="1C410A10">
      <w:pPr>
        <w:pStyle w:val="13"/>
        <w:pageBreakBefore w:val="0"/>
        <w:kinsoku/>
        <w:overflowPunct/>
        <w:bidi w:val="0"/>
        <w:spacing w:after="0" w:line="400" w:lineRule="exact"/>
        <w:textAlignment w:val="auto"/>
        <w:rPr>
          <w:rFonts w:hint="eastAsia"/>
          <w:color w:val="auto"/>
          <w:highlight w:val="none"/>
        </w:rPr>
      </w:pPr>
    </w:p>
    <w:p w14:paraId="754678C8">
      <w:pPr>
        <w:pStyle w:val="13"/>
        <w:pageBreakBefore w:val="0"/>
        <w:kinsoku/>
        <w:overflowPunct/>
        <w:bidi w:val="0"/>
        <w:spacing w:after="0" w:line="400" w:lineRule="exact"/>
        <w:textAlignment w:val="auto"/>
        <w:rPr>
          <w:rFonts w:hint="eastAsia"/>
          <w:color w:val="auto"/>
          <w:highlight w:val="none"/>
        </w:rPr>
      </w:pPr>
    </w:p>
    <w:p w14:paraId="33445F78">
      <w:pPr>
        <w:pStyle w:val="13"/>
        <w:pageBreakBefore w:val="0"/>
        <w:kinsoku/>
        <w:overflowPunct/>
        <w:bidi w:val="0"/>
        <w:spacing w:after="0" w:line="400" w:lineRule="exact"/>
        <w:textAlignment w:val="auto"/>
        <w:rPr>
          <w:rFonts w:hint="eastAsia"/>
          <w:color w:val="auto"/>
          <w:highlight w:val="none"/>
        </w:rPr>
      </w:pPr>
    </w:p>
    <w:p w14:paraId="168DC483">
      <w:pPr>
        <w:jc w:val="center"/>
        <w:rPr>
          <w:rFonts w:hint="eastAsia" w:ascii="宋体" w:hAnsi="Times New Roman" w:eastAsia="宋体" w:cs="宋体"/>
          <w:color w:val="auto"/>
          <w:sz w:val="36"/>
          <w:szCs w:val="36"/>
          <w:highlight w:val="none"/>
          <w:lang w:val="en-US" w:eastAsia="zh-CN"/>
        </w:rPr>
      </w:pPr>
    </w:p>
    <w:p w14:paraId="1378993A">
      <w:pPr>
        <w:jc w:val="center"/>
        <w:rPr>
          <w:b/>
          <w:sz w:val="44"/>
        </w:rPr>
      </w:pPr>
      <w:r>
        <w:rPr>
          <w:rFonts w:hint="eastAsia" w:ascii="宋体" w:hAnsi="Times New Roman" w:eastAsia="宋体" w:cs="宋体"/>
          <w:color w:val="auto"/>
          <w:sz w:val="36"/>
          <w:szCs w:val="36"/>
          <w:highlight w:val="none"/>
          <w:lang w:val="en-US" w:eastAsia="zh-CN"/>
        </w:rPr>
        <w:t>遴选采购最低价承诺书</w:t>
      </w:r>
    </w:p>
    <w:p w14:paraId="2AB34E78">
      <w:pPr>
        <w:spacing w:line="360" w:lineRule="auto"/>
        <w:rPr>
          <w:rFonts w:hint="eastAsia"/>
          <w:sz w:val="28"/>
          <w:lang w:val="en-US" w:eastAsia="zh-CN"/>
        </w:rPr>
      </w:pPr>
    </w:p>
    <w:p w14:paraId="516C5FC4">
      <w:pPr>
        <w:spacing w:line="360" w:lineRule="auto"/>
        <w:rPr>
          <w:rFonts w:hint="default" w:eastAsiaTheme="minorEastAsia"/>
          <w:sz w:val="28"/>
          <w:lang w:val="en-US" w:eastAsia="zh-CN"/>
        </w:rPr>
      </w:pPr>
      <w:r>
        <w:rPr>
          <w:rFonts w:hint="eastAsia"/>
          <w:sz w:val="24"/>
          <w:szCs w:val="24"/>
          <w:lang w:val="en-US" w:eastAsia="zh-CN"/>
        </w:rPr>
        <w:t>致哈尔滨医科大学附属第二医院</w:t>
      </w:r>
      <w:r>
        <w:rPr>
          <w:rFonts w:hint="eastAsia"/>
          <w:sz w:val="28"/>
          <w:lang w:val="en-US" w:eastAsia="zh-CN"/>
        </w:rPr>
        <w:t>：</w:t>
      </w:r>
    </w:p>
    <w:p w14:paraId="1EE84F50">
      <w:pPr>
        <w:spacing w:before="156" w:beforeLines="50" w:line="360" w:lineRule="auto"/>
        <w:ind w:firstLine="480" w:firstLineChars="200"/>
        <w:rPr>
          <w:sz w:val="24"/>
          <w:szCs w:val="24"/>
        </w:rPr>
      </w:pPr>
      <w:r>
        <w:rPr>
          <w:sz w:val="24"/>
          <w:szCs w:val="24"/>
        </w:rPr>
        <w:t>本</w:t>
      </w:r>
      <w:r>
        <w:rPr>
          <w:rFonts w:hint="eastAsia"/>
          <w:sz w:val="24"/>
          <w:szCs w:val="24"/>
        </w:rPr>
        <w:t>公司承诺</w:t>
      </w:r>
      <w:r>
        <w:rPr>
          <w:rFonts w:hint="eastAsia"/>
          <w:sz w:val="24"/>
          <w:szCs w:val="24"/>
          <w:lang w:eastAsia="zh-CN"/>
        </w:rPr>
        <w:t>：</w:t>
      </w:r>
      <w:r>
        <w:rPr>
          <w:rFonts w:hint="eastAsia"/>
          <w:sz w:val="24"/>
          <w:szCs w:val="24"/>
          <w:lang w:val="en-US" w:eastAsia="zh-CN"/>
        </w:rPr>
        <w:t>参加贵院遴选采购的</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产品的报价为目前</w:t>
      </w:r>
      <w:r>
        <w:rPr>
          <w:rFonts w:hint="default"/>
          <w:sz w:val="24"/>
          <w:szCs w:val="24"/>
          <w:lang w:val="en-US" w:eastAsia="zh-CN"/>
        </w:rPr>
        <w:sym w:font="Wingdings 2" w:char="00A3"/>
      </w:r>
      <w:r>
        <w:rPr>
          <w:rFonts w:hint="default"/>
          <w:sz w:val="24"/>
          <w:szCs w:val="24"/>
          <w:lang w:val="en-US" w:eastAsia="zh-CN"/>
        </w:rPr>
        <w:t>全国</w:t>
      </w:r>
      <w:r>
        <w:rPr>
          <w:rFonts w:hint="default"/>
          <w:sz w:val="24"/>
          <w:szCs w:val="24"/>
          <w:lang w:val="en-US" w:eastAsia="zh-CN"/>
        </w:rPr>
        <w:sym w:font="Wingdings 2" w:char="00A3"/>
      </w:r>
      <w:r>
        <w:rPr>
          <w:rFonts w:hint="eastAsia"/>
          <w:sz w:val="24"/>
          <w:szCs w:val="24"/>
          <w:lang w:val="en-US" w:eastAsia="zh-CN"/>
        </w:rPr>
        <w:t>黑龙江省（至少勾选一项）</w:t>
      </w:r>
      <w:r>
        <w:rPr>
          <w:rFonts w:hint="eastAsia"/>
          <w:sz w:val="24"/>
          <w:szCs w:val="24"/>
          <w:u w:val="none"/>
        </w:rPr>
        <w:t>。</w:t>
      </w:r>
      <w:r>
        <w:rPr>
          <w:rFonts w:hint="eastAsia"/>
          <w:sz w:val="24"/>
          <w:szCs w:val="24"/>
        </w:rPr>
        <w:t>并承诺：</w:t>
      </w:r>
    </w:p>
    <w:p w14:paraId="1F815F4F">
      <w:pPr>
        <w:pStyle w:val="22"/>
        <w:numPr>
          <w:ilvl w:val="0"/>
          <w:numId w:val="6"/>
        </w:numPr>
        <w:spacing w:before="156" w:beforeLines="50" w:line="360" w:lineRule="auto"/>
        <w:ind w:left="0" w:firstLine="560" w:firstLineChars="0"/>
        <w:rPr>
          <w:sz w:val="24"/>
          <w:szCs w:val="24"/>
        </w:rPr>
      </w:pPr>
      <w:r>
        <w:rPr>
          <w:rFonts w:hint="eastAsia"/>
          <w:sz w:val="24"/>
          <w:szCs w:val="24"/>
        </w:rPr>
        <w:t>若非</w:t>
      </w:r>
      <w:r>
        <w:rPr>
          <w:rFonts w:hint="eastAsia"/>
          <w:sz w:val="24"/>
          <w:szCs w:val="24"/>
          <w:lang w:eastAsia="zh-CN"/>
        </w:rPr>
        <w:t>上述勾选</w:t>
      </w:r>
      <w:r>
        <w:rPr>
          <w:rFonts w:hint="eastAsia"/>
          <w:sz w:val="24"/>
          <w:szCs w:val="24"/>
        </w:rPr>
        <w:t>最低价，医院有权单方面终止合同，且</w:t>
      </w:r>
      <w:r>
        <w:rPr>
          <w:sz w:val="24"/>
          <w:szCs w:val="24"/>
        </w:rPr>
        <w:t>公司</w:t>
      </w:r>
      <w:r>
        <w:rPr>
          <w:rFonts w:hint="eastAsia"/>
          <w:sz w:val="24"/>
          <w:szCs w:val="24"/>
        </w:rPr>
        <w:t>须</w:t>
      </w:r>
      <w:r>
        <w:rPr>
          <w:sz w:val="24"/>
          <w:szCs w:val="24"/>
        </w:rPr>
        <w:t>按全国</w:t>
      </w:r>
      <w:r>
        <w:rPr>
          <w:rFonts w:hint="eastAsia"/>
          <w:sz w:val="24"/>
          <w:szCs w:val="24"/>
        </w:rPr>
        <w:t>最低价补足已销售货物价差所致的金额。</w:t>
      </w:r>
    </w:p>
    <w:p w14:paraId="054AB5DD">
      <w:pPr>
        <w:pStyle w:val="22"/>
        <w:numPr>
          <w:ilvl w:val="0"/>
          <w:numId w:val="6"/>
        </w:numPr>
        <w:spacing w:before="156" w:beforeLines="50" w:line="360" w:lineRule="auto"/>
        <w:ind w:left="0" w:firstLine="560" w:firstLineChars="0"/>
        <w:rPr>
          <w:sz w:val="24"/>
          <w:szCs w:val="24"/>
        </w:rPr>
      </w:pPr>
      <w:r>
        <w:rPr>
          <w:rFonts w:hint="eastAsia"/>
          <w:sz w:val="24"/>
          <w:szCs w:val="24"/>
        </w:rPr>
        <w:t>合同期内，公司须随时关注全国价格动态，若有降价，应第一时间通知我院</w:t>
      </w:r>
      <w:r>
        <w:rPr>
          <w:rFonts w:hint="eastAsia"/>
          <w:sz w:val="24"/>
          <w:szCs w:val="24"/>
          <w:lang w:eastAsia="zh-CN"/>
        </w:rPr>
        <w:t>，并</w:t>
      </w:r>
      <w:r>
        <w:rPr>
          <w:rFonts w:hint="eastAsia"/>
          <w:sz w:val="24"/>
          <w:szCs w:val="24"/>
        </w:rPr>
        <w:t>按降价后的价格执行。</w:t>
      </w:r>
    </w:p>
    <w:p w14:paraId="4E97073E">
      <w:pPr>
        <w:spacing w:before="156" w:beforeLines="50" w:line="360" w:lineRule="auto"/>
        <w:ind w:firstLine="560" w:firstLineChars="200"/>
        <w:rPr>
          <w:sz w:val="28"/>
        </w:rPr>
      </w:pPr>
    </w:p>
    <w:p w14:paraId="3D3BC9A2">
      <w:pPr>
        <w:spacing w:before="156" w:beforeLines="50" w:line="360" w:lineRule="auto"/>
        <w:ind w:firstLine="560" w:firstLineChars="200"/>
        <w:rPr>
          <w:sz w:val="28"/>
        </w:rPr>
      </w:pPr>
    </w:p>
    <w:p w14:paraId="43E74060">
      <w:pPr>
        <w:spacing w:before="156" w:beforeLines="50" w:line="360" w:lineRule="auto"/>
        <w:ind w:firstLine="560" w:firstLineChars="200"/>
        <w:rPr>
          <w:sz w:val="28"/>
        </w:rPr>
      </w:pPr>
    </w:p>
    <w:p w14:paraId="7B83B95C">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702DCB5B">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00909AC">
      <w:pPr>
        <w:spacing w:before="156" w:beforeLines="50" w:line="360" w:lineRule="auto"/>
        <w:jc w:val="right"/>
        <w:rPr>
          <w:sz w:val="56"/>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45AFA32C">
      <w:pPr>
        <w:pStyle w:val="8"/>
        <w:numPr>
          <w:ilvl w:val="0"/>
          <w:numId w:val="0"/>
        </w:numPr>
        <w:spacing w:line="440" w:lineRule="exact"/>
        <w:rPr>
          <w:rFonts w:hint="default" w:ascii="方正仿宋_GBK" w:hAnsi="宋体" w:eastAsia="方正仿宋_GBK"/>
          <w:sz w:val="24"/>
          <w:lang w:val="en-US" w:eastAsia="zh-CN"/>
        </w:rPr>
      </w:pPr>
    </w:p>
    <w:p w14:paraId="6A6B973E">
      <w:pPr>
        <w:pStyle w:val="8"/>
        <w:numPr>
          <w:ilvl w:val="0"/>
          <w:numId w:val="0"/>
        </w:numPr>
        <w:spacing w:line="440" w:lineRule="exact"/>
        <w:rPr>
          <w:rFonts w:hint="default" w:ascii="方正仿宋_GBK" w:hAnsi="宋体" w:eastAsia="方正仿宋_GBK"/>
          <w:sz w:val="24"/>
          <w:lang w:val="en-US" w:eastAsia="zh-CN"/>
        </w:rPr>
      </w:pPr>
    </w:p>
    <w:p w14:paraId="2A7253DB">
      <w:pPr>
        <w:pStyle w:val="8"/>
        <w:numPr>
          <w:ilvl w:val="0"/>
          <w:numId w:val="0"/>
        </w:numPr>
        <w:spacing w:line="440" w:lineRule="exact"/>
        <w:rPr>
          <w:rFonts w:hint="default" w:ascii="方正仿宋_GBK" w:hAnsi="宋体" w:eastAsia="方正仿宋_GBK"/>
          <w:sz w:val="24"/>
          <w:lang w:val="en-US" w:eastAsia="zh-CN"/>
        </w:rPr>
      </w:pPr>
    </w:p>
    <w:p w14:paraId="1BDA38D7">
      <w:pPr>
        <w:pStyle w:val="8"/>
        <w:numPr>
          <w:ilvl w:val="0"/>
          <w:numId w:val="0"/>
        </w:numPr>
        <w:spacing w:line="440" w:lineRule="exact"/>
        <w:rPr>
          <w:rFonts w:hint="default" w:ascii="方正仿宋_GBK" w:hAnsi="宋体" w:eastAsia="方正仿宋_GBK"/>
          <w:sz w:val="24"/>
          <w:lang w:val="en-US" w:eastAsia="zh-CN"/>
        </w:rPr>
      </w:pPr>
    </w:p>
    <w:p w14:paraId="569DA155">
      <w:pPr>
        <w:pStyle w:val="8"/>
        <w:numPr>
          <w:ilvl w:val="0"/>
          <w:numId w:val="0"/>
        </w:numPr>
        <w:spacing w:line="440" w:lineRule="exact"/>
        <w:rPr>
          <w:rFonts w:hint="default" w:ascii="方正仿宋_GBK" w:hAnsi="宋体" w:eastAsia="方正仿宋_GBK"/>
          <w:sz w:val="24"/>
          <w:lang w:val="en-US" w:eastAsia="zh-CN"/>
        </w:rPr>
      </w:pPr>
    </w:p>
    <w:p w14:paraId="10C39E4B">
      <w:pPr>
        <w:pStyle w:val="8"/>
        <w:numPr>
          <w:ilvl w:val="0"/>
          <w:numId w:val="0"/>
        </w:numPr>
        <w:spacing w:line="440" w:lineRule="exact"/>
        <w:rPr>
          <w:rFonts w:hint="default" w:ascii="方正仿宋_GBK" w:hAnsi="宋体" w:eastAsia="方正仿宋_GBK"/>
          <w:sz w:val="24"/>
          <w:lang w:val="en-US" w:eastAsia="zh-CN"/>
        </w:rPr>
      </w:pPr>
    </w:p>
    <w:p w14:paraId="7317A822">
      <w:pPr>
        <w:pStyle w:val="8"/>
        <w:numPr>
          <w:ilvl w:val="0"/>
          <w:numId w:val="0"/>
        </w:numPr>
        <w:spacing w:line="440" w:lineRule="exact"/>
        <w:rPr>
          <w:rFonts w:hint="default" w:ascii="方正仿宋_GBK" w:hAnsi="宋体" w:eastAsia="方正仿宋_GBK"/>
          <w:sz w:val="24"/>
          <w:lang w:val="en-US" w:eastAsia="zh-CN"/>
        </w:rPr>
      </w:pPr>
    </w:p>
    <w:p w14:paraId="6F37B213">
      <w:pPr>
        <w:jc w:val="center"/>
        <w:rPr>
          <w:rFonts w:hint="eastAsia" w:ascii="宋体" w:hAnsi="Times New Roman" w:eastAsia="宋体" w:cs="宋体"/>
          <w:color w:val="auto"/>
          <w:sz w:val="36"/>
          <w:szCs w:val="36"/>
          <w:highlight w:val="none"/>
          <w:lang w:val="en-US" w:eastAsia="zh-CN"/>
        </w:rPr>
      </w:pPr>
    </w:p>
    <w:p w14:paraId="0DCFD3FD">
      <w:pPr>
        <w:jc w:val="center"/>
        <w:rPr>
          <w:rFonts w:hint="eastAsia" w:ascii="宋体" w:hAnsi="Times New Roman" w:eastAsia="宋体" w:cs="宋体"/>
          <w:color w:val="auto"/>
          <w:sz w:val="36"/>
          <w:szCs w:val="36"/>
          <w:highlight w:val="none"/>
          <w:lang w:val="en-US" w:eastAsia="zh-CN"/>
        </w:rPr>
      </w:pPr>
    </w:p>
    <w:p w14:paraId="24AA2D00">
      <w:pPr>
        <w:jc w:val="center"/>
        <w:rPr>
          <w:rFonts w:hint="eastAsia" w:ascii="宋体" w:hAnsi="Times New Roman" w:eastAsia="宋体" w:cs="宋体"/>
          <w:color w:val="auto"/>
          <w:sz w:val="36"/>
          <w:szCs w:val="36"/>
          <w:highlight w:val="none"/>
          <w:lang w:val="en-US" w:eastAsia="zh-CN"/>
        </w:rPr>
      </w:pPr>
    </w:p>
    <w:p w14:paraId="696B4523">
      <w:pPr>
        <w:jc w:val="center"/>
        <w:rPr>
          <w:rFonts w:hint="eastAsia" w:ascii="Times New Roman" w:hAnsi="Times New Roman" w:cs="Times New Roman"/>
          <w:b/>
          <w:bCs/>
          <w:sz w:val="40"/>
          <w:szCs w:val="40"/>
          <w:lang w:val="en-US" w:eastAsia="zh-CN"/>
        </w:rPr>
      </w:pPr>
      <w:r>
        <w:rPr>
          <w:rFonts w:hint="eastAsia" w:ascii="宋体" w:hAnsi="Times New Roman" w:eastAsia="宋体" w:cs="宋体"/>
          <w:color w:val="auto"/>
          <w:sz w:val="36"/>
          <w:szCs w:val="36"/>
          <w:highlight w:val="none"/>
          <w:lang w:val="en-US" w:eastAsia="zh-CN"/>
        </w:rPr>
        <w:t>医药价格和招采信用评级等级承诺书</w:t>
      </w:r>
    </w:p>
    <w:p w14:paraId="455A2B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8"/>
          <w:szCs w:val="28"/>
          <w:lang w:val="en-US" w:eastAsia="zh-CN"/>
        </w:rPr>
      </w:pPr>
      <w:r>
        <w:rPr>
          <w:rFonts w:hint="eastAsia" w:asciiTheme="minorHAnsi" w:hAnsiTheme="minorHAnsi" w:eastAsiaTheme="minorEastAsia" w:cstheme="minorBidi"/>
          <w:kern w:val="2"/>
          <w:sz w:val="24"/>
          <w:szCs w:val="24"/>
          <w:lang w:val="en-US" w:eastAsia="zh-CN" w:bidi="ar-SA"/>
        </w:rPr>
        <w:t>经在国家医疗保障局官网（http://www.nhsa.gov.cn/col/col126/index.html）及各省省级集中采购机构官网查询，我公司的医药价格和招采信用评级为（须在下列对应方框中打勾）</w:t>
      </w:r>
      <w:r>
        <w:rPr>
          <w:rFonts w:hint="eastAsia" w:ascii="Times New Roman" w:hAnsi="Times New Roman" w:cs="Times New Roman"/>
          <w:sz w:val="28"/>
          <w:szCs w:val="28"/>
          <w:lang w:val="en-US" w:eastAsia="zh-CN"/>
        </w:rPr>
        <w:t>：</w:t>
      </w:r>
    </w:p>
    <w:p w14:paraId="73A83849">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良好</w:t>
      </w:r>
    </w:p>
    <w:p w14:paraId="2068D973">
      <w:pPr>
        <w:ind w:firstLine="48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失信：</w:t>
      </w:r>
    </w:p>
    <w:p w14:paraId="5750418E">
      <w:pPr>
        <w:ind w:firstLine="560" w:firstLineChars="200"/>
        <w:jc w:val="left"/>
        <w:rPr>
          <w:rFonts w:hint="default" w:ascii="Times New Roman" w:hAnsi="Times New Roman" w:cs="Times New Roman"/>
          <w:sz w:val="24"/>
          <w:szCs w:val="24"/>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一般</w:t>
      </w:r>
    </w:p>
    <w:p w14:paraId="75D36BDF">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中等</w:t>
      </w:r>
    </w:p>
    <w:p w14:paraId="5BFCE3CE">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严重</w:t>
      </w:r>
    </w:p>
    <w:p w14:paraId="44061403">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特别严重</w:t>
      </w:r>
    </w:p>
    <w:p w14:paraId="48AFD0C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我公司对医药价格和招采信用评级等级做出如下承诺：</w:t>
      </w:r>
    </w:p>
    <w:p w14:paraId="338992A4">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上述评级等级真实、有效。</w:t>
      </w:r>
    </w:p>
    <w:p w14:paraId="338A237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承诺定价、营销、投标、履约过程中不发生</w:t>
      </w:r>
      <w:r>
        <w:rPr>
          <w:rFonts w:hint="eastAsia" w:ascii="Times New Roman" w:hAnsi="Times New Roman" w:cs="Times New Roman"/>
          <w:sz w:val="24"/>
          <w:szCs w:val="24"/>
          <w:lang w:val="en-US" w:eastAsia="zh-CN"/>
        </w:rPr>
        <w:t>包括但不限于《国家医疗保障局关于建立医药价格和招采信用评价制度的指导意见》（医保发〔2020〕34号）中《</w:t>
      </w:r>
      <w:r>
        <w:rPr>
          <w:rFonts w:hint="default" w:ascii="Times New Roman" w:hAnsi="Times New Roman" w:cs="Times New Roman"/>
          <w:sz w:val="24"/>
          <w:szCs w:val="24"/>
          <w:lang w:val="en-US" w:eastAsia="zh-CN"/>
        </w:rPr>
        <w:t>失信事项目录清单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所列行为。</w:t>
      </w:r>
    </w:p>
    <w:p w14:paraId="453389A5">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承诺员工（含雇佣关系，以及劳务派遣、购买服务、委托代理等关系）或具有委托代理关系的经销企业</w:t>
      </w:r>
      <w:r>
        <w:rPr>
          <w:rFonts w:hint="eastAsia" w:ascii="Times New Roman" w:hAnsi="Times New Roman" w:cs="Times New Roman"/>
          <w:sz w:val="24"/>
          <w:szCs w:val="24"/>
          <w:lang w:val="en-US" w:eastAsia="zh-CN"/>
        </w:rPr>
        <w:t>不</w:t>
      </w:r>
      <w:r>
        <w:rPr>
          <w:rFonts w:hint="default" w:ascii="Times New Roman" w:hAnsi="Times New Roman" w:cs="Times New Roman"/>
          <w:sz w:val="24"/>
          <w:szCs w:val="24"/>
          <w:lang w:val="en-US" w:eastAsia="zh-CN"/>
        </w:rPr>
        <w:t>实施失信行为使己方医用耗材获得或增加交易机会、竞争优势。</w:t>
      </w:r>
    </w:p>
    <w:p w14:paraId="5E4909A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对于违反前述承诺事项的，</w:t>
      </w:r>
      <w:r>
        <w:rPr>
          <w:rFonts w:hint="default" w:ascii="Times New Roman" w:hAnsi="Times New Roman" w:cs="Times New Roman"/>
          <w:sz w:val="24"/>
          <w:szCs w:val="24"/>
          <w:lang w:val="en-US" w:eastAsia="zh-CN"/>
        </w:rPr>
        <w:t>承担失信违约责任</w:t>
      </w:r>
      <w:r>
        <w:rPr>
          <w:rFonts w:hint="eastAsia" w:ascii="Times New Roman" w:hAnsi="Times New Roman" w:cs="Times New Roman"/>
          <w:sz w:val="28"/>
          <w:szCs w:val="28"/>
          <w:lang w:val="en-US" w:eastAsia="zh-CN"/>
        </w:rPr>
        <w:t>。</w:t>
      </w:r>
    </w:p>
    <w:p w14:paraId="748161E6">
      <w:pPr>
        <w:pStyle w:val="13"/>
        <w:rPr>
          <w:rFonts w:hint="eastAsia" w:ascii="Times New Roman" w:hAnsi="Times New Roman" w:cs="Times New Roman"/>
          <w:sz w:val="28"/>
          <w:szCs w:val="28"/>
          <w:lang w:val="en-US" w:eastAsia="zh-CN"/>
        </w:rPr>
      </w:pPr>
    </w:p>
    <w:p w14:paraId="7239386A">
      <w:pPr>
        <w:pStyle w:val="13"/>
        <w:rPr>
          <w:rFonts w:hint="default" w:ascii="Times New Roman" w:hAnsi="Times New Roman" w:cs="Times New Roman"/>
          <w:sz w:val="28"/>
          <w:szCs w:val="28"/>
          <w:lang w:val="en-US" w:eastAsia="zh-CN"/>
        </w:rPr>
      </w:pPr>
    </w:p>
    <w:p w14:paraId="47FFC174">
      <w:pPr>
        <w:pageBreakBefore w:val="0"/>
        <w:tabs>
          <w:tab w:val="left" w:pos="6195"/>
        </w:tabs>
        <w:kinsoku/>
        <w:overflowPunct/>
        <w:autoSpaceDE w:val="0"/>
        <w:autoSpaceDN w:val="0"/>
        <w:bidi w:val="0"/>
        <w:adjustRightInd w:val="0"/>
        <w:snapToGrid w:val="0"/>
        <w:spacing w:line="400" w:lineRule="exact"/>
        <w:jc w:val="right"/>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竞选</w:t>
      </w:r>
      <w:r>
        <w:rPr>
          <w:rFonts w:hint="eastAsia" w:ascii="宋体" w:cs="宋体"/>
          <w:color w:val="auto"/>
          <w:spacing w:val="-1"/>
          <w:kern w:val="0"/>
          <w:sz w:val="21"/>
          <w:szCs w:val="21"/>
          <w:highlight w:val="none"/>
        </w:rPr>
        <w:t>人</w:t>
      </w:r>
      <w:r>
        <w:rPr>
          <w:rFonts w:hint="eastAsia" w:ascii="宋体" w:cs="宋体"/>
          <w:color w:val="auto"/>
          <w:kern w:val="0"/>
          <w:sz w:val="21"/>
          <w:szCs w:val="21"/>
          <w:highlight w:val="none"/>
        </w:rPr>
        <w:t>：</w:t>
      </w:r>
      <w:r>
        <w:rPr>
          <w:rFonts w:hint="eastAsia" w:ascii="宋体" w:cs="宋体"/>
          <w:color w:val="auto"/>
          <w:w w:val="200"/>
          <w:kern w:val="0"/>
          <w:sz w:val="21"/>
          <w:szCs w:val="21"/>
          <w:highlight w:val="none"/>
          <w:u w:val="single"/>
        </w:rPr>
        <w:t xml:space="preserve"> </w:t>
      </w:r>
      <w:r>
        <w:rPr>
          <w:rFonts w:hint="eastAsia" w:ascii="宋体" w:cs="宋体"/>
          <w:color w:val="auto"/>
          <w:w w:val="200"/>
          <w:kern w:val="0"/>
          <w:sz w:val="21"/>
          <w:szCs w:val="21"/>
          <w:highlight w:val="none"/>
          <w:u w:val="single"/>
          <w:lang w:val="en-US" w:eastAsia="zh-CN"/>
        </w:rPr>
        <w:t xml:space="preserve">              </w:t>
      </w:r>
      <w:r>
        <w:rPr>
          <w:rFonts w:hint="eastAsia" w:ascii="宋体" w:cs="宋体"/>
          <w:color w:val="auto"/>
          <w:spacing w:val="-1"/>
          <w:kern w:val="0"/>
          <w:sz w:val="21"/>
          <w:szCs w:val="21"/>
          <w:highlight w:val="none"/>
        </w:rPr>
        <w:t>（</w:t>
      </w:r>
      <w:r>
        <w:rPr>
          <w:rFonts w:hint="eastAsia" w:ascii="宋体" w:cs="宋体"/>
          <w:color w:val="auto"/>
          <w:kern w:val="0"/>
          <w:sz w:val="21"/>
          <w:szCs w:val="21"/>
          <w:highlight w:val="none"/>
        </w:rPr>
        <w:t>盖</w:t>
      </w:r>
      <w:r>
        <w:rPr>
          <w:rFonts w:hint="eastAsia" w:ascii="宋体" w:cs="宋体"/>
          <w:color w:val="auto"/>
          <w:kern w:val="0"/>
          <w:sz w:val="21"/>
          <w:szCs w:val="21"/>
          <w:highlight w:val="none"/>
          <w:lang w:eastAsia="zh-CN"/>
        </w:rPr>
        <w:t>竞选人单位公章</w:t>
      </w:r>
      <w:r>
        <w:rPr>
          <w:rFonts w:hint="eastAsia" w:ascii="宋体" w:cs="宋体"/>
          <w:color w:val="auto"/>
          <w:kern w:val="0"/>
          <w:sz w:val="21"/>
          <w:szCs w:val="21"/>
          <w:highlight w:val="none"/>
        </w:rPr>
        <w:t>）</w:t>
      </w:r>
    </w:p>
    <w:p w14:paraId="2D56B615">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1"/>
          <w:szCs w:val="21"/>
          <w:highlight w:val="none"/>
        </w:rPr>
      </w:pPr>
    </w:p>
    <w:p w14:paraId="487A57E9">
      <w:pPr>
        <w:pStyle w:val="13"/>
        <w:jc w:val="right"/>
        <w:rPr>
          <w:rFonts w:hint="eastAsia" w:ascii="Times New Roman" w:hAnsi="Times New Roman" w:cs="Times New Roman"/>
          <w:sz w:val="24"/>
          <w:szCs w:val="24"/>
          <w:lang w:val="en-US" w:eastAsia="zh-CN"/>
        </w:rPr>
      </w:pP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u w:val="single"/>
        </w:rPr>
        <w:tab/>
      </w:r>
      <w:r>
        <w:rPr>
          <w:rFonts w:hint="eastAsia" w:ascii="宋体" w:cs="宋体"/>
          <w:color w:val="auto"/>
          <w:spacing w:val="-1"/>
          <w:kern w:val="0"/>
          <w:sz w:val="21"/>
          <w:szCs w:val="21"/>
          <w:highlight w:val="none"/>
        </w:rPr>
        <w:t>年</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月</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 xml:space="preserve">日 </w:t>
      </w:r>
      <w:r>
        <w:rPr>
          <w:rFonts w:hint="eastAsia" w:ascii="宋体" w:cs="宋体"/>
          <w:color w:val="auto"/>
          <w:kern w:val="0"/>
          <w:szCs w:val="21"/>
          <w:highlight w:val="none"/>
        </w:rPr>
        <w:t xml:space="preserve"> </w:t>
      </w:r>
    </w:p>
    <w:p w14:paraId="203B5EFE">
      <w:pPr>
        <w:pStyle w:val="13"/>
        <w:rPr>
          <w:rFonts w:hint="default" w:ascii="Times New Roman" w:hAnsi="Times New Roman" w:cs="Times New Roman"/>
          <w:sz w:val="24"/>
          <w:szCs w:val="24"/>
          <w:lang w:val="en-US" w:eastAsia="zh-CN"/>
        </w:rPr>
      </w:pPr>
    </w:p>
    <w:p w14:paraId="3A7CE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13F81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547A8EF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161BBDF0">
      <w:pPr>
        <w:jc w:val="center"/>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产品质量及售后服务承诺书</w:t>
      </w:r>
    </w:p>
    <w:p w14:paraId="5EBF7628">
      <w:pPr>
        <w:pageBreakBefore w:val="0"/>
        <w:kinsoku/>
        <w:overflowPunct/>
        <w:bidi w:val="0"/>
        <w:spacing w:line="400" w:lineRule="exact"/>
        <w:textAlignment w:val="auto"/>
        <w:rPr>
          <w:rFonts w:hint="eastAsia" w:ascii="仿宋" w:hAnsi="仿宋" w:eastAsia="仿宋" w:cs="仿宋"/>
          <w:color w:val="auto"/>
          <w:sz w:val="24"/>
          <w:szCs w:val="24"/>
        </w:rPr>
      </w:pPr>
      <w:r>
        <w:rPr>
          <w:rFonts w:hint="eastAsia" w:ascii="宋体" w:hAnsi="宋体" w:eastAsia="宋体" w:cs="宋体"/>
          <w:color w:val="auto"/>
          <w:sz w:val="24"/>
          <w:szCs w:val="24"/>
          <w:highlight w:val="none"/>
          <w:u w:val="none"/>
          <w:lang w:val="en-US" w:eastAsia="zh-CN"/>
        </w:rPr>
        <w:t>致</w:t>
      </w:r>
      <w:r>
        <w:rPr>
          <w:rFonts w:hint="eastAsia"/>
          <w:sz w:val="24"/>
          <w:szCs w:val="24"/>
          <w:u w:val="none"/>
          <w:lang w:val="en-US" w:eastAsia="zh-CN"/>
        </w:rPr>
        <w:t>哈尔滨医科大学附属第二医院</w:t>
      </w:r>
      <w:r>
        <w:rPr>
          <w:rFonts w:hint="eastAsia" w:ascii="宋体" w:hAnsi="宋体" w:eastAsia="宋体" w:cs="宋体"/>
          <w:color w:val="auto"/>
          <w:sz w:val="24"/>
          <w:szCs w:val="24"/>
          <w:highlight w:val="none"/>
          <w:u w:val="none"/>
          <w:lang w:val="en-US" w:eastAsia="zh-CN"/>
        </w:rPr>
        <w:t>：</w:t>
      </w:r>
    </w:p>
    <w:p w14:paraId="29AA9EFB">
      <w:pPr>
        <w:spacing w:before="156" w:beforeLines="50" w:line="360" w:lineRule="auto"/>
        <w:ind w:firstLine="480" w:firstLineChars="200"/>
        <w:rPr>
          <w:rFonts w:hint="eastAsia"/>
          <w:sz w:val="24"/>
          <w:szCs w:val="24"/>
        </w:rPr>
      </w:pPr>
      <w:r>
        <w:rPr>
          <w:rFonts w:hint="eastAsia"/>
          <w:sz w:val="24"/>
          <w:szCs w:val="24"/>
        </w:rPr>
        <w:t>我方在此郑重声明并承诺：</w:t>
      </w:r>
    </w:p>
    <w:p w14:paraId="0CE9EB3D">
      <w:pPr>
        <w:pStyle w:val="22"/>
        <w:numPr>
          <w:ilvl w:val="0"/>
          <w:numId w:val="8"/>
        </w:numPr>
        <w:spacing w:before="156" w:beforeLines="50" w:line="360" w:lineRule="auto"/>
        <w:ind w:left="0" w:firstLine="560" w:firstLineChars="0"/>
        <w:rPr>
          <w:rFonts w:hint="eastAsia"/>
          <w:sz w:val="24"/>
          <w:szCs w:val="24"/>
        </w:rPr>
      </w:pPr>
      <w:r>
        <w:rPr>
          <w:rFonts w:hint="eastAsia"/>
          <w:sz w:val="24"/>
          <w:szCs w:val="24"/>
        </w:rPr>
        <w:t>如若入围，我方保证按照入围产品目录及时向采购人进行供货，并确保耗材安全、质量符合国家相关要求；我方保证向采购人所提供</w:t>
      </w:r>
      <w:r>
        <w:rPr>
          <w:rFonts w:hint="eastAsia"/>
          <w:sz w:val="24"/>
          <w:szCs w:val="24"/>
          <w:lang w:eastAsia="zh-CN"/>
        </w:rPr>
        <w:t>耗材</w:t>
      </w:r>
      <w:r>
        <w:rPr>
          <w:rFonts w:hint="eastAsia"/>
          <w:sz w:val="24"/>
          <w:szCs w:val="24"/>
        </w:rPr>
        <w:t>的货源及质量真实、合法、有效，保证合同期内的货源供应，若提供虚假证明致使不合格产品进入</w:t>
      </w:r>
      <w:r>
        <w:rPr>
          <w:rFonts w:hint="eastAsia"/>
          <w:sz w:val="24"/>
          <w:szCs w:val="24"/>
          <w:lang w:eastAsia="zh-CN"/>
        </w:rPr>
        <w:t>医</w:t>
      </w:r>
      <w:r>
        <w:rPr>
          <w:rFonts w:hint="eastAsia"/>
          <w:sz w:val="24"/>
          <w:szCs w:val="24"/>
        </w:rPr>
        <w:t>院，并给医院造成损失的，</w:t>
      </w:r>
      <w:r>
        <w:rPr>
          <w:rFonts w:hint="eastAsia"/>
          <w:sz w:val="24"/>
          <w:szCs w:val="24"/>
          <w:lang w:eastAsia="zh-CN"/>
        </w:rPr>
        <w:t>我方</w:t>
      </w:r>
      <w:r>
        <w:rPr>
          <w:rFonts w:hint="eastAsia"/>
          <w:sz w:val="24"/>
          <w:szCs w:val="24"/>
        </w:rPr>
        <w:t>负全部经济赔偿，给医院带来声誉损失的，</w:t>
      </w:r>
      <w:r>
        <w:rPr>
          <w:rFonts w:hint="eastAsia"/>
          <w:sz w:val="24"/>
          <w:szCs w:val="24"/>
          <w:lang w:eastAsia="zh-CN"/>
        </w:rPr>
        <w:t>我方终止与医院合同并</w:t>
      </w:r>
      <w:r>
        <w:rPr>
          <w:rFonts w:hint="eastAsia"/>
          <w:sz w:val="24"/>
          <w:szCs w:val="24"/>
        </w:rPr>
        <w:t>赔偿由此给</w:t>
      </w:r>
      <w:r>
        <w:rPr>
          <w:rFonts w:hint="eastAsia"/>
          <w:sz w:val="24"/>
          <w:szCs w:val="24"/>
          <w:lang w:eastAsia="zh-CN"/>
        </w:rPr>
        <w:t>医院</w:t>
      </w:r>
      <w:r>
        <w:rPr>
          <w:rFonts w:hint="eastAsia"/>
          <w:sz w:val="24"/>
          <w:szCs w:val="24"/>
        </w:rPr>
        <w:t>造成的实际损失</w:t>
      </w:r>
      <w:r>
        <w:rPr>
          <w:rFonts w:hint="eastAsia"/>
          <w:sz w:val="24"/>
          <w:szCs w:val="24"/>
          <w:lang w:eastAsia="zh-CN"/>
        </w:rPr>
        <w:t>，自</w:t>
      </w:r>
      <w:r>
        <w:rPr>
          <w:rFonts w:hint="eastAsia"/>
          <w:sz w:val="24"/>
          <w:szCs w:val="24"/>
        </w:rPr>
        <w:t>愿承担因违反上述要求而造成的一切法律责任。</w:t>
      </w:r>
    </w:p>
    <w:p w14:paraId="7FCEEC60">
      <w:pPr>
        <w:pStyle w:val="22"/>
        <w:numPr>
          <w:ilvl w:val="0"/>
          <w:numId w:val="8"/>
        </w:numPr>
        <w:spacing w:before="156" w:beforeLines="50" w:line="360" w:lineRule="auto"/>
        <w:ind w:left="0" w:firstLine="560" w:firstLineChars="0"/>
        <w:rPr>
          <w:rFonts w:hint="eastAsia"/>
          <w:sz w:val="24"/>
          <w:szCs w:val="24"/>
        </w:rPr>
      </w:pPr>
      <w:r>
        <w:rPr>
          <w:rFonts w:hint="eastAsia"/>
          <w:sz w:val="24"/>
          <w:szCs w:val="24"/>
          <w:lang w:eastAsia="zh-CN"/>
        </w:rPr>
        <w:t>我方</w:t>
      </w:r>
      <w:r>
        <w:rPr>
          <w:rFonts w:hint="eastAsia"/>
          <w:sz w:val="24"/>
          <w:szCs w:val="24"/>
        </w:rPr>
        <w:t>接受24小时不间断服务方式，</w:t>
      </w:r>
      <w:r>
        <w:rPr>
          <w:rFonts w:hint="eastAsia"/>
          <w:sz w:val="24"/>
          <w:szCs w:val="24"/>
          <w:lang w:eastAsia="zh-CN"/>
        </w:rPr>
        <w:t>并保证在</w:t>
      </w:r>
      <w:r>
        <w:rPr>
          <w:rFonts w:hint="eastAsia"/>
          <w:sz w:val="24"/>
          <w:szCs w:val="24"/>
        </w:rPr>
        <w:t>30分钟内响应</w:t>
      </w:r>
      <w:r>
        <w:rPr>
          <w:rFonts w:hint="eastAsia"/>
          <w:sz w:val="24"/>
          <w:szCs w:val="24"/>
          <w:lang w:eastAsia="zh-CN"/>
        </w:rPr>
        <w:t>医院需求</w:t>
      </w:r>
      <w:r>
        <w:rPr>
          <w:rFonts w:hint="eastAsia"/>
          <w:sz w:val="24"/>
          <w:szCs w:val="24"/>
        </w:rPr>
        <w:t>，4小时内送达，不</w:t>
      </w:r>
      <w:r>
        <w:rPr>
          <w:rFonts w:hint="eastAsia"/>
          <w:sz w:val="24"/>
          <w:szCs w:val="24"/>
          <w:lang w:eastAsia="zh-CN"/>
        </w:rPr>
        <w:t>影响</w:t>
      </w:r>
      <w:r>
        <w:rPr>
          <w:rFonts w:hint="eastAsia"/>
          <w:sz w:val="24"/>
          <w:szCs w:val="24"/>
        </w:rPr>
        <w:t>临床使用。</w:t>
      </w:r>
      <w:r>
        <w:rPr>
          <w:rFonts w:hint="eastAsia"/>
          <w:sz w:val="24"/>
          <w:szCs w:val="24"/>
          <w:lang w:eastAsia="zh-CN"/>
        </w:rPr>
        <w:t>因不可抗力或供应商原因导致逾期送达的，每逾期一小时，我方按实际损失支付违约金。</w:t>
      </w:r>
    </w:p>
    <w:p w14:paraId="2903193C">
      <w:pPr>
        <w:pStyle w:val="22"/>
        <w:numPr>
          <w:ilvl w:val="0"/>
          <w:numId w:val="8"/>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如我方不按承诺书内容执行，将自动放弃在此次入围遴选项目中的所有权利，并接受所有不利后果，包括但不限于赔偿医院损失、进入医院黑名单等。</w:t>
      </w:r>
    </w:p>
    <w:p w14:paraId="6ABB8B0B">
      <w:pPr>
        <w:spacing w:before="156" w:beforeLines="50" w:line="360" w:lineRule="auto"/>
        <w:ind w:firstLine="480" w:firstLineChars="200"/>
        <w:jc w:val="center"/>
        <w:rPr>
          <w:rFonts w:hint="eastAsia"/>
          <w:sz w:val="24"/>
          <w:szCs w:val="24"/>
        </w:rPr>
      </w:pPr>
      <w:r>
        <w:rPr>
          <w:rFonts w:hint="eastAsia"/>
          <w:sz w:val="24"/>
          <w:szCs w:val="24"/>
          <w:lang w:val="en-US" w:eastAsia="zh-CN"/>
        </w:rPr>
        <w:t xml:space="preserve">                                                       </w:t>
      </w:r>
      <w:r>
        <w:rPr>
          <w:rFonts w:hint="eastAsia"/>
          <w:sz w:val="24"/>
          <w:szCs w:val="24"/>
        </w:rPr>
        <w:t>特此承诺。</w:t>
      </w:r>
    </w:p>
    <w:p w14:paraId="2FEADFCF">
      <w:pPr>
        <w:spacing w:before="156" w:beforeLines="50" w:line="360" w:lineRule="auto"/>
        <w:ind w:firstLine="480" w:firstLineChars="200"/>
        <w:jc w:val="center"/>
        <w:rPr>
          <w:rFonts w:hint="eastAsia"/>
          <w:sz w:val="24"/>
          <w:szCs w:val="24"/>
        </w:rPr>
      </w:pPr>
    </w:p>
    <w:p w14:paraId="7CF0B525">
      <w:pPr>
        <w:pageBreakBefore w:val="0"/>
        <w:tabs>
          <w:tab w:val="left" w:pos="6195"/>
        </w:tabs>
        <w:kinsoku/>
        <w:overflowPunct/>
        <w:autoSpaceDE w:val="0"/>
        <w:autoSpaceDN w:val="0"/>
        <w:bidi w:val="0"/>
        <w:adjustRightInd w:val="0"/>
        <w:snapToGrid w:val="0"/>
        <w:spacing w:line="400" w:lineRule="exact"/>
        <w:ind w:firstLine="2640" w:firstLineChars="1100"/>
        <w:jc w:val="both"/>
        <w:textAlignment w:val="auto"/>
        <w:rPr>
          <w:rFonts w:hint="eastAsia" w:ascii="宋体" w:cs="宋体"/>
          <w:color w:val="auto"/>
          <w:kern w:val="0"/>
          <w:szCs w:val="21"/>
          <w:highlight w:val="none"/>
        </w:rPr>
      </w:pPr>
      <w:r>
        <w:rPr>
          <w:rFonts w:hint="eastAsia" w:asciiTheme="minorHAnsi" w:hAnsiTheme="minorHAnsi" w:eastAsiaTheme="minorEastAsia" w:cstheme="minorBidi"/>
          <w:kern w:val="2"/>
          <w:sz w:val="24"/>
          <w:szCs w:val="24"/>
          <w:lang w:val="en-US" w:eastAsia="zh-CN" w:bidi="ar-SA"/>
        </w:rPr>
        <w:t>竞选人：</w:t>
      </w:r>
      <w:r>
        <w:rPr>
          <w:rFonts w:hint="eastAsia" w:ascii="宋体" w:hAnsi="宋体" w:eastAsia="宋体" w:cs="宋体"/>
          <w:color w:val="auto"/>
          <w:sz w:val="24"/>
          <w:szCs w:val="24"/>
          <w:highlight w:val="none"/>
          <w:u w:val="single"/>
          <w:lang w:val="en-US" w:eastAsia="zh-CN"/>
        </w:rPr>
        <w:t xml:space="preserve">                      </w:t>
      </w:r>
      <w:r>
        <w:rPr>
          <w:rFonts w:hint="eastAsia" w:asciiTheme="minorHAnsi" w:hAnsiTheme="minorHAnsi" w:eastAsiaTheme="minorEastAsia" w:cstheme="minorBidi"/>
          <w:kern w:val="2"/>
          <w:sz w:val="24"/>
          <w:szCs w:val="24"/>
          <w:lang w:val="en-US" w:eastAsia="zh-CN" w:bidi="ar-SA"/>
        </w:rPr>
        <w:t>（盖竞选人单位公章）</w:t>
      </w:r>
    </w:p>
    <w:p w14:paraId="572E7239">
      <w:pPr>
        <w:spacing w:before="156" w:beforeLines="50" w:line="360" w:lineRule="auto"/>
        <w:ind w:firstLine="480" w:firstLineChars="200"/>
        <w:rPr>
          <w:rFonts w:hint="eastAsia"/>
          <w:sz w:val="24"/>
          <w:szCs w:val="24"/>
        </w:rPr>
      </w:pPr>
    </w:p>
    <w:p w14:paraId="018A3D2D">
      <w:pPr>
        <w:spacing w:before="156" w:beforeLines="50" w:line="360" w:lineRule="auto"/>
        <w:ind w:firstLine="4080" w:firstLineChars="1700"/>
        <w:rPr>
          <w:rFonts w:hint="eastAsia"/>
          <w:sz w:val="24"/>
          <w:szCs w:val="24"/>
        </w:rPr>
      </w:pPr>
      <w:r>
        <w:rPr>
          <w:rFonts w:hint="eastAsia"/>
          <w:sz w:val="24"/>
          <w:szCs w:val="24"/>
        </w:rPr>
        <w:t>日期：       年       月       日</w:t>
      </w:r>
    </w:p>
    <w:p w14:paraId="580F385C">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9D8D">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91E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8B0E"/>
    <w:multiLevelType w:val="singleLevel"/>
    <w:tmpl w:val="826C8B0E"/>
    <w:lvl w:ilvl="0" w:tentative="0">
      <w:start w:val="1"/>
      <w:numFmt w:val="chineseCounting"/>
      <w:suff w:val="nothing"/>
      <w:lvlText w:val="%1、"/>
      <w:lvlJc w:val="left"/>
      <w:rPr>
        <w:rFonts w:hint="eastAsia"/>
      </w:rPr>
    </w:lvl>
  </w:abstractNum>
  <w:abstractNum w:abstractNumId="1">
    <w:nsid w:val="8B3A9986"/>
    <w:multiLevelType w:val="singleLevel"/>
    <w:tmpl w:val="8B3A9986"/>
    <w:lvl w:ilvl="0" w:tentative="0">
      <w:start w:val="1"/>
      <w:numFmt w:val="chineseCounting"/>
      <w:suff w:val="nothing"/>
      <w:lvlText w:val="%1、"/>
      <w:lvlJc w:val="left"/>
      <w:rPr>
        <w:rFonts w:hint="eastAsia"/>
      </w:rPr>
    </w:lvl>
  </w:abstractNum>
  <w:abstractNum w:abstractNumId="2">
    <w:nsid w:val="E4176837"/>
    <w:multiLevelType w:val="multilevel"/>
    <w:tmpl w:val="E4176837"/>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4A680AF"/>
    <w:multiLevelType w:val="singleLevel"/>
    <w:tmpl w:val="04A680AF"/>
    <w:lvl w:ilvl="0" w:tentative="0">
      <w:start w:val="1"/>
      <w:numFmt w:val="chineseCounting"/>
      <w:suff w:val="nothing"/>
      <w:lvlText w:val="%1、"/>
      <w:lvlJc w:val="left"/>
      <w:rPr>
        <w:rFonts w:hint="eastAsia"/>
      </w:rPr>
    </w:lvl>
  </w:abstractNum>
  <w:abstractNum w:abstractNumId="4">
    <w:nsid w:val="289F250C"/>
    <w:multiLevelType w:val="multilevel"/>
    <w:tmpl w:val="289F250C"/>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5AD7EA2"/>
    <w:multiLevelType w:val="singleLevel"/>
    <w:tmpl w:val="55AD7EA2"/>
    <w:lvl w:ilvl="0" w:tentative="0">
      <w:start w:val="1"/>
      <w:numFmt w:val="chineseCounting"/>
      <w:suff w:val="nothing"/>
      <w:lvlText w:val="%1、"/>
      <w:lvlJc w:val="left"/>
      <w:rPr>
        <w:rFonts w:hint="eastAsia"/>
      </w:rPr>
    </w:lvl>
  </w:abstractNum>
  <w:abstractNum w:abstractNumId="6">
    <w:nsid w:val="6672B714"/>
    <w:multiLevelType w:val="multilevel"/>
    <w:tmpl w:val="6672B714"/>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6B7F22C8"/>
    <w:multiLevelType w:val="singleLevel"/>
    <w:tmpl w:val="6B7F22C8"/>
    <w:lvl w:ilvl="0" w:tentative="0">
      <w:start w:val="1"/>
      <w:numFmt w:val="chineseCounting"/>
      <w:suff w:val="space"/>
      <w:lvlText w:val="第%1章"/>
      <w:lvlJc w:val="left"/>
      <w:rPr>
        <w:rFonts w:hint="eastAsia"/>
      </w:rPr>
    </w:lvl>
  </w:abstractNum>
  <w:num w:numId="1">
    <w:abstractNumId w:val="7"/>
  </w:num>
  <w:num w:numId="2">
    <w:abstractNumId w:val="0"/>
  </w:num>
  <w:num w:numId="3">
    <w:abstractNumId w:val="3"/>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E78BD"/>
    <w:rsid w:val="00182A72"/>
    <w:rsid w:val="00392A9F"/>
    <w:rsid w:val="009A5857"/>
    <w:rsid w:val="00CD5314"/>
    <w:rsid w:val="013A1CD0"/>
    <w:rsid w:val="014A2714"/>
    <w:rsid w:val="0154309C"/>
    <w:rsid w:val="015E1BB3"/>
    <w:rsid w:val="01A85CFD"/>
    <w:rsid w:val="01BE5948"/>
    <w:rsid w:val="01D62159"/>
    <w:rsid w:val="02067366"/>
    <w:rsid w:val="023C36ED"/>
    <w:rsid w:val="027D0F8C"/>
    <w:rsid w:val="02DE4C2F"/>
    <w:rsid w:val="0315309E"/>
    <w:rsid w:val="03332A2B"/>
    <w:rsid w:val="03F957DC"/>
    <w:rsid w:val="043978E6"/>
    <w:rsid w:val="04E62658"/>
    <w:rsid w:val="056117E3"/>
    <w:rsid w:val="057274FF"/>
    <w:rsid w:val="05842FA9"/>
    <w:rsid w:val="05864EDB"/>
    <w:rsid w:val="05CA3EB9"/>
    <w:rsid w:val="05E64275"/>
    <w:rsid w:val="05E93B08"/>
    <w:rsid w:val="05EA3021"/>
    <w:rsid w:val="05FC6962"/>
    <w:rsid w:val="063F1D9A"/>
    <w:rsid w:val="066F334E"/>
    <w:rsid w:val="06A76489"/>
    <w:rsid w:val="06C5271C"/>
    <w:rsid w:val="06F936A9"/>
    <w:rsid w:val="074367EF"/>
    <w:rsid w:val="074B0738"/>
    <w:rsid w:val="07773404"/>
    <w:rsid w:val="07D03170"/>
    <w:rsid w:val="08AE1E9F"/>
    <w:rsid w:val="09071EDD"/>
    <w:rsid w:val="09335449"/>
    <w:rsid w:val="0979739A"/>
    <w:rsid w:val="09AA6E8C"/>
    <w:rsid w:val="0A911D28"/>
    <w:rsid w:val="0AFA042E"/>
    <w:rsid w:val="0B2A1661"/>
    <w:rsid w:val="0B8D2E25"/>
    <w:rsid w:val="0C2003EB"/>
    <w:rsid w:val="0CB415D8"/>
    <w:rsid w:val="0D380EA3"/>
    <w:rsid w:val="0D4000F2"/>
    <w:rsid w:val="0D844863"/>
    <w:rsid w:val="0DA252ED"/>
    <w:rsid w:val="0DD54C3E"/>
    <w:rsid w:val="0DDD5A78"/>
    <w:rsid w:val="0E042561"/>
    <w:rsid w:val="0EBD766F"/>
    <w:rsid w:val="0ED92235"/>
    <w:rsid w:val="0F142152"/>
    <w:rsid w:val="0F15650D"/>
    <w:rsid w:val="0F3159D2"/>
    <w:rsid w:val="0F3C5114"/>
    <w:rsid w:val="0F3C578F"/>
    <w:rsid w:val="0F5202BA"/>
    <w:rsid w:val="0F596A5F"/>
    <w:rsid w:val="0F78156E"/>
    <w:rsid w:val="0F85738B"/>
    <w:rsid w:val="0FF22FC0"/>
    <w:rsid w:val="0FFC01D0"/>
    <w:rsid w:val="10086339"/>
    <w:rsid w:val="10545091"/>
    <w:rsid w:val="106211B9"/>
    <w:rsid w:val="10C57012"/>
    <w:rsid w:val="10D04745"/>
    <w:rsid w:val="10E62E3A"/>
    <w:rsid w:val="10F02982"/>
    <w:rsid w:val="10F507E0"/>
    <w:rsid w:val="10FC2F2E"/>
    <w:rsid w:val="116843E6"/>
    <w:rsid w:val="11D16376"/>
    <w:rsid w:val="12395C23"/>
    <w:rsid w:val="127448CD"/>
    <w:rsid w:val="129A2F84"/>
    <w:rsid w:val="12D348C9"/>
    <w:rsid w:val="1335780D"/>
    <w:rsid w:val="13371015"/>
    <w:rsid w:val="13584227"/>
    <w:rsid w:val="137039FD"/>
    <w:rsid w:val="1374732A"/>
    <w:rsid w:val="13DA5A86"/>
    <w:rsid w:val="13DE6251"/>
    <w:rsid w:val="13EC3EE7"/>
    <w:rsid w:val="141D7875"/>
    <w:rsid w:val="14593AAA"/>
    <w:rsid w:val="14EB6614"/>
    <w:rsid w:val="1565422D"/>
    <w:rsid w:val="15785D0F"/>
    <w:rsid w:val="15BB5C03"/>
    <w:rsid w:val="1696573C"/>
    <w:rsid w:val="16B56818"/>
    <w:rsid w:val="16DD0280"/>
    <w:rsid w:val="170A5374"/>
    <w:rsid w:val="17543F84"/>
    <w:rsid w:val="176F0636"/>
    <w:rsid w:val="17C606D9"/>
    <w:rsid w:val="17D64BF2"/>
    <w:rsid w:val="17DD3FDD"/>
    <w:rsid w:val="17DF51B5"/>
    <w:rsid w:val="17E6616C"/>
    <w:rsid w:val="17F57937"/>
    <w:rsid w:val="17FA5E81"/>
    <w:rsid w:val="184F77B4"/>
    <w:rsid w:val="18553EFB"/>
    <w:rsid w:val="18C64E90"/>
    <w:rsid w:val="19132B76"/>
    <w:rsid w:val="191E3554"/>
    <w:rsid w:val="194B6122"/>
    <w:rsid w:val="194E6691"/>
    <w:rsid w:val="196F10EF"/>
    <w:rsid w:val="198914BF"/>
    <w:rsid w:val="198D7D6C"/>
    <w:rsid w:val="19F90C5F"/>
    <w:rsid w:val="1A254691"/>
    <w:rsid w:val="1A486529"/>
    <w:rsid w:val="1A9E5F71"/>
    <w:rsid w:val="1AE25D7E"/>
    <w:rsid w:val="1AE654C9"/>
    <w:rsid w:val="1AF076EF"/>
    <w:rsid w:val="1B0A7817"/>
    <w:rsid w:val="1B2149FE"/>
    <w:rsid w:val="1B270EEF"/>
    <w:rsid w:val="1B6173EB"/>
    <w:rsid w:val="1B67724E"/>
    <w:rsid w:val="1BBE6686"/>
    <w:rsid w:val="1BD72202"/>
    <w:rsid w:val="1C5F4D1A"/>
    <w:rsid w:val="1C783AB3"/>
    <w:rsid w:val="1CE302EB"/>
    <w:rsid w:val="1D765E33"/>
    <w:rsid w:val="1D8C2009"/>
    <w:rsid w:val="1DD66F5C"/>
    <w:rsid w:val="1E6840D6"/>
    <w:rsid w:val="1E974363"/>
    <w:rsid w:val="1E9E3727"/>
    <w:rsid w:val="1EAB292D"/>
    <w:rsid w:val="1EE5743A"/>
    <w:rsid w:val="1F5328D1"/>
    <w:rsid w:val="1F5F4840"/>
    <w:rsid w:val="1FB60C09"/>
    <w:rsid w:val="1FE03671"/>
    <w:rsid w:val="1FF8B3BC"/>
    <w:rsid w:val="203647FC"/>
    <w:rsid w:val="204E02BB"/>
    <w:rsid w:val="20557AF8"/>
    <w:rsid w:val="2083459D"/>
    <w:rsid w:val="20F56F86"/>
    <w:rsid w:val="20FD2F21"/>
    <w:rsid w:val="213C39E9"/>
    <w:rsid w:val="21921F06"/>
    <w:rsid w:val="21AD4339"/>
    <w:rsid w:val="21B02313"/>
    <w:rsid w:val="21CF0904"/>
    <w:rsid w:val="21EA56DE"/>
    <w:rsid w:val="22291FEE"/>
    <w:rsid w:val="226B3B99"/>
    <w:rsid w:val="22815CDC"/>
    <w:rsid w:val="22D118CD"/>
    <w:rsid w:val="231861D8"/>
    <w:rsid w:val="239777AC"/>
    <w:rsid w:val="23CC0FD5"/>
    <w:rsid w:val="23F928E3"/>
    <w:rsid w:val="241E5615"/>
    <w:rsid w:val="24974F9C"/>
    <w:rsid w:val="251B0FBF"/>
    <w:rsid w:val="251C1987"/>
    <w:rsid w:val="251D21A4"/>
    <w:rsid w:val="25495AD2"/>
    <w:rsid w:val="25764DF1"/>
    <w:rsid w:val="259E7935"/>
    <w:rsid w:val="25E62D2C"/>
    <w:rsid w:val="25F35531"/>
    <w:rsid w:val="26031625"/>
    <w:rsid w:val="26460C04"/>
    <w:rsid w:val="266B0F78"/>
    <w:rsid w:val="27065FF4"/>
    <w:rsid w:val="271D63DC"/>
    <w:rsid w:val="27560F79"/>
    <w:rsid w:val="27D70F51"/>
    <w:rsid w:val="27EB24A8"/>
    <w:rsid w:val="27F24371"/>
    <w:rsid w:val="27FE673D"/>
    <w:rsid w:val="281872C4"/>
    <w:rsid w:val="284A5CA4"/>
    <w:rsid w:val="28BA26C5"/>
    <w:rsid w:val="28D41348"/>
    <w:rsid w:val="29204C49"/>
    <w:rsid w:val="292E2549"/>
    <w:rsid w:val="293263F3"/>
    <w:rsid w:val="29422319"/>
    <w:rsid w:val="29C45DCB"/>
    <w:rsid w:val="2A06437D"/>
    <w:rsid w:val="2A0D0CC4"/>
    <w:rsid w:val="2A281B4D"/>
    <w:rsid w:val="2A691522"/>
    <w:rsid w:val="2A7D289A"/>
    <w:rsid w:val="2AB64438"/>
    <w:rsid w:val="2AEE1679"/>
    <w:rsid w:val="2B3569B8"/>
    <w:rsid w:val="2B43250A"/>
    <w:rsid w:val="2BC047E4"/>
    <w:rsid w:val="2C651953"/>
    <w:rsid w:val="2C94009A"/>
    <w:rsid w:val="2CA14645"/>
    <w:rsid w:val="2CB56D20"/>
    <w:rsid w:val="2CE52C3B"/>
    <w:rsid w:val="2CEF2C15"/>
    <w:rsid w:val="2D5B2B11"/>
    <w:rsid w:val="2D6243AC"/>
    <w:rsid w:val="2DE87B10"/>
    <w:rsid w:val="2DEA131C"/>
    <w:rsid w:val="2E233484"/>
    <w:rsid w:val="2EC50499"/>
    <w:rsid w:val="2ED15314"/>
    <w:rsid w:val="2F946D19"/>
    <w:rsid w:val="2F955305"/>
    <w:rsid w:val="2FC35C5B"/>
    <w:rsid w:val="2FF474F5"/>
    <w:rsid w:val="301C02EE"/>
    <w:rsid w:val="303F6882"/>
    <w:rsid w:val="30E1509C"/>
    <w:rsid w:val="30FA6A96"/>
    <w:rsid w:val="311D7312"/>
    <w:rsid w:val="318908BB"/>
    <w:rsid w:val="319910DF"/>
    <w:rsid w:val="31F83CF9"/>
    <w:rsid w:val="320329AC"/>
    <w:rsid w:val="320B20ED"/>
    <w:rsid w:val="324D574B"/>
    <w:rsid w:val="327C32E7"/>
    <w:rsid w:val="3288092E"/>
    <w:rsid w:val="329A1838"/>
    <w:rsid w:val="331C5ADC"/>
    <w:rsid w:val="334255AF"/>
    <w:rsid w:val="334437F4"/>
    <w:rsid w:val="33495B53"/>
    <w:rsid w:val="336A47A2"/>
    <w:rsid w:val="337347C1"/>
    <w:rsid w:val="337B4704"/>
    <w:rsid w:val="33B316AD"/>
    <w:rsid w:val="33DE6905"/>
    <w:rsid w:val="34067C1F"/>
    <w:rsid w:val="34DC2F8B"/>
    <w:rsid w:val="34DE20B0"/>
    <w:rsid w:val="351B67FF"/>
    <w:rsid w:val="35290FD5"/>
    <w:rsid w:val="35935DF5"/>
    <w:rsid w:val="35B376A5"/>
    <w:rsid w:val="36044FCA"/>
    <w:rsid w:val="36195880"/>
    <w:rsid w:val="362C5BD9"/>
    <w:rsid w:val="36C6306C"/>
    <w:rsid w:val="36D92FCC"/>
    <w:rsid w:val="3775517E"/>
    <w:rsid w:val="37C63633"/>
    <w:rsid w:val="37DF6FB1"/>
    <w:rsid w:val="37E06CB4"/>
    <w:rsid w:val="38793073"/>
    <w:rsid w:val="38AC650A"/>
    <w:rsid w:val="38CA4224"/>
    <w:rsid w:val="38FFAE7F"/>
    <w:rsid w:val="39033292"/>
    <w:rsid w:val="3911775D"/>
    <w:rsid w:val="392B2CE6"/>
    <w:rsid w:val="3A0C1E2A"/>
    <w:rsid w:val="3A631614"/>
    <w:rsid w:val="3A68485D"/>
    <w:rsid w:val="3A8D375B"/>
    <w:rsid w:val="3AA840F1"/>
    <w:rsid w:val="3AB3290B"/>
    <w:rsid w:val="3AC646FE"/>
    <w:rsid w:val="3AF53F4C"/>
    <w:rsid w:val="3AFE8629"/>
    <w:rsid w:val="3B1233C8"/>
    <w:rsid w:val="3B724207"/>
    <w:rsid w:val="3B823E08"/>
    <w:rsid w:val="3BAD1CF4"/>
    <w:rsid w:val="3BB23D7D"/>
    <w:rsid w:val="3BCF3C90"/>
    <w:rsid w:val="3BED0891"/>
    <w:rsid w:val="3C445E8A"/>
    <w:rsid w:val="3CA42592"/>
    <w:rsid w:val="3D4E71D1"/>
    <w:rsid w:val="3D712EF2"/>
    <w:rsid w:val="3DA61CC4"/>
    <w:rsid w:val="3E5400AF"/>
    <w:rsid w:val="3E873AE4"/>
    <w:rsid w:val="3E887EA3"/>
    <w:rsid w:val="3ED83037"/>
    <w:rsid w:val="3ED86D6F"/>
    <w:rsid w:val="3F012EB2"/>
    <w:rsid w:val="3F6F050F"/>
    <w:rsid w:val="3FA8698C"/>
    <w:rsid w:val="3FAB5DE3"/>
    <w:rsid w:val="3FB50EC3"/>
    <w:rsid w:val="3FF42936"/>
    <w:rsid w:val="40AC684C"/>
    <w:rsid w:val="40BD625F"/>
    <w:rsid w:val="4102196B"/>
    <w:rsid w:val="41382CD2"/>
    <w:rsid w:val="41C16069"/>
    <w:rsid w:val="41D878E4"/>
    <w:rsid w:val="41F62B0D"/>
    <w:rsid w:val="421542F7"/>
    <w:rsid w:val="42161379"/>
    <w:rsid w:val="42470354"/>
    <w:rsid w:val="42A0071B"/>
    <w:rsid w:val="42D37C3B"/>
    <w:rsid w:val="43007E98"/>
    <w:rsid w:val="432F4983"/>
    <w:rsid w:val="433167C7"/>
    <w:rsid w:val="43584316"/>
    <w:rsid w:val="43B4209F"/>
    <w:rsid w:val="43D67481"/>
    <w:rsid w:val="4408538F"/>
    <w:rsid w:val="44724F63"/>
    <w:rsid w:val="44A17377"/>
    <w:rsid w:val="44B26C00"/>
    <w:rsid w:val="44BA7F63"/>
    <w:rsid w:val="44BD51A3"/>
    <w:rsid w:val="44D546F0"/>
    <w:rsid w:val="44F925FB"/>
    <w:rsid w:val="450537CE"/>
    <w:rsid w:val="45073DA9"/>
    <w:rsid w:val="451E0890"/>
    <w:rsid w:val="45226611"/>
    <w:rsid w:val="455E1F7C"/>
    <w:rsid w:val="45E2496D"/>
    <w:rsid w:val="46121383"/>
    <w:rsid w:val="463D166E"/>
    <w:rsid w:val="46BA444C"/>
    <w:rsid w:val="46C75BD1"/>
    <w:rsid w:val="46CC4C79"/>
    <w:rsid w:val="470B17A1"/>
    <w:rsid w:val="470C7BA6"/>
    <w:rsid w:val="479F34DC"/>
    <w:rsid w:val="47AD6F18"/>
    <w:rsid w:val="481D7ECC"/>
    <w:rsid w:val="487C235B"/>
    <w:rsid w:val="488B0DC4"/>
    <w:rsid w:val="48A033E0"/>
    <w:rsid w:val="4924150C"/>
    <w:rsid w:val="497004A0"/>
    <w:rsid w:val="497B3A24"/>
    <w:rsid w:val="49887640"/>
    <w:rsid w:val="4A5D4EF8"/>
    <w:rsid w:val="4B31724C"/>
    <w:rsid w:val="4B77923A"/>
    <w:rsid w:val="4B7B7ABD"/>
    <w:rsid w:val="4BC975CC"/>
    <w:rsid w:val="4BCB5719"/>
    <w:rsid w:val="4BEC5E5C"/>
    <w:rsid w:val="4C0807C4"/>
    <w:rsid w:val="4C1126F7"/>
    <w:rsid w:val="4C37454D"/>
    <w:rsid w:val="4C885189"/>
    <w:rsid w:val="4CA24245"/>
    <w:rsid w:val="4D26727B"/>
    <w:rsid w:val="4D35134A"/>
    <w:rsid w:val="4DA263BE"/>
    <w:rsid w:val="4DC0760F"/>
    <w:rsid w:val="4DCF05C8"/>
    <w:rsid w:val="4F011A8C"/>
    <w:rsid w:val="4F7A3CCF"/>
    <w:rsid w:val="4F7C258C"/>
    <w:rsid w:val="4F874AF7"/>
    <w:rsid w:val="4FB4521D"/>
    <w:rsid w:val="4FE750DB"/>
    <w:rsid w:val="4FEC1923"/>
    <w:rsid w:val="5013297D"/>
    <w:rsid w:val="5021778E"/>
    <w:rsid w:val="502554D7"/>
    <w:rsid w:val="502E071A"/>
    <w:rsid w:val="50521D6B"/>
    <w:rsid w:val="50892B11"/>
    <w:rsid w:val="509E3B74"/>
    <w:rsid w:val="50F63C66"/>
    <w:rsid w:val="50F73E72"/>
    <w:rsid w:val="50F777A0"/>
    <w:rsid w:val="513029C4"/>
    <w:rsid w:val="513C460B"/>
    <w:rsid w:val="51B178D7"/>
    <w:rsid w:val="51D00692"/>
    <w:rsid w:val="51DF31AD"/>
    <w:rsid w:val="51F12B89"/>
    <w:rsid w:val="52251866"/>
    <w:rsid w:val="52257A0A"/>
    <w:rsid w:val="523D5498"/>
    <w:rsid w:val="52621E99"/>
    <w:rsid w:val="528A2602"/>
    <w:rsid w:val="5320150A"/>
    <w:rsid w:val="5331700D"/>
    <w:rsid w:val="533444E5"/>
    <w:rsid w:val="53413128"/>
    <w:rsid w:val="53860000"/>
    <w:rsid w:val="539A2935"/>
    <w:rsid w:val="53D12677"/>
    <w:rsid w:val="53D815BC"/>
    <w:rsid w:val="53DA0ADB"/>
    <w:rsid w:val="53EA7CE2"/>
    <w:rsid w:val="53F7456A"/>
    <w:rsid w:val="54144439"/>
    <w:rsid w:val="5447267E"/>
    <w:rsid w:val="545126B0"/>
    <w:rsid w:val="54700314"/>
    <w:rsid w:val="55043E65"/>
    <w:rsid w:val="55643CCB"/>
    <w:rsid w:val="55747599"/>
    <w:rsid w:val="55913ADD"/>
    <w:rsid w:val="55BE64BA"/>
    <w:rsid w:val="562D628D"/>
    <w:rsid w:val="56995ED8"/>
    <w:rsid w:val="56D25757"/>
    <w:rsid w:val="56D27CC5"/>
    <w:rsid w:val="57331A5F"/>
    <w:rsid w:val="577566EA"/>
    <w:rsid w:val="57CC4BC2"/>
    <w:rsid w:val="57D112BE"/>
    <w:rsid w:val="57F509CA"/>
    <w:rsid w:val="57FB1D20"/>
    <w:rsid w:val="582708F3"/>
    <w:rsid w:val="584D6171"/>
    <w:rsid w:val="5886571D"/>
    <w:rsid w:val="5896260E"/>
    <w:rsid w:val="58F54B90"/>
    <w:rsid w:val="59100756"/>
    <w:rsid w:val="59B26577"/>
    <w:rsid w:val="59D407F3"/>
    <w:rsid w:val="5A270F74"/>
    <w:rsid w:val="5A4237C2"/>
    <w:rsid w:val="5A4A6BBD"/>
    <w:rsid w:val="5A7D278E"/>
    <w:rsid w:val="5AAB0709"/>
    <w:rsid w:val="5AE75F65"/>
    <w:rsid w:val="5AF57539"/>
    <w:rsid w:val="5B5D41FD"/>
    <w:rsid w:val="5B6F76CA"/>
    <w:rsid w:val="5BAC35E9"/>
    <w:rsid w:val="5BAE357A"/>
    <w:rsid w:val="5BC54059"/>
    <w:rsid w:val="5BCA721E"/>
    <w:rsid w:val="5BE35796"/>
    <w:rsid w:val="5BEC23C2"/>
    <w:rsid w:val="5C7032F1"/>
    <w:rsid w:val="5C8520EB"/>
    <w:rsid w:val="5CBD7C5B"/>
    <w:rsid w:val="5D233E6C"/>
    <w:rsid w:val="5D2F1213"/>
    <w:rsid w:val="5D4E79CE"/>
    <w:rsid w:val="5D674528"/>
    <w:rsid w:val="5D9754F2"/>
    <w:rsid w:val="5DB96BD3"/>
    <w:rsid w:val="5DCE4BB5"/>
    <w:rsid w:val="5DD228F7"/>
    <w:rsid w:val="5E0A2D0C"/>
    <w:rsid w:val="5E385608"/>
    <w:rsid w:val="5ED846F5"/>
    <w:rsid w:val="5EDA56E9"/>
    <w:rsid w:val="5EE7359F"/>
    <w:rsid w:val="5FAB1E0A"/>
    <w:rsid w:val="5FBE38EB"/>
    <w:rsid w:val="5FDF0EC5"/>
    <w:rsid w:val="5FE926EA"/>
    <w:rsid w:val="601F5571"/>
    <w:rsid w:val="607353BE"/>
    <w:rsid w:val="60ED1779"/>
    <w:rsid w:val="60F656CE"/>
    <w:rsid w:val="6117523F"/>
    <w:rsid w:val="612965F8"/>
    <w:rsid w:val="617556F4"/>
    <w:rsid w:val="6190176D"/>
    <w:rsid w:val="61AE034A"/>
    <w:rsid w:val="61C0099E"/>
    <w:rsid w:val="6224081C"/>
    <w:rsid w:val="62705D3E"/>
    <w:rsid w:val="629464A7"/>
    <w:rsid w:val="62BE2ED2"/>
    <w:rsid w:val="62F0755E"/>
    <w:rsid w:val="62FB0C70"/>
    <w:rsid w:val="634964C9"/>
    <w:rsid w:val="635D270E"/>
    <w:rsid w:val="636D694A"/>
    <w:rsid w:val="63BA386A"/>
    <w:rsid w:val="63DB1474"/>
    <w:rsid w:val="641649C3"/>
    <w:rsid w:val="642457F3"/>
    <w:rsid w:val="64496AFC"/>
    <w:rsid w:val="645667E8"/>
    <w:rsid w:val="646A2293"/>
    <w:rsid w:val="646B71AB"/>
    <w:rsid w:val="64D83A80"/>
    <w:rsid w:val="65864C16"/>
    <w:rsid w:val="65962CB9"/>
    <w:rsid w:val="65CE3A11"/>
    <w:rsid w:val="65DF7841"/>
    <w:rsid w:val="66193BC5"/>
    <w:rsid w:val="665E2609"/>
    <w:rsid w:val="665E568D"/>
    <w:rsid w:val="668565B8"/>
    <w:rsid w:val="66BB3013"/>
    <w:rsid w:val="66EA2DD5"/>
    <w:rsid w:val="66F845BE"/>
    <w:rsid w:val="67202EBF"/>
    <w:rsid w:val="672D0274"/>
    <w:rsid w:val="673B087A"/>
    <w:rsid w:val="67CD5013"/>
    <w:rsid w:val="67DC44C8"/>
    <w:rsid w:val="67E27102"/>
    <w:rsid w:val="67E2769A"/>
    <w:rsid w:val="683138AD"/>
    <w:rsid w:val="689E6E62"/>
    <w:rsid w:val="69182936"/>
    <w:rsid w:val="6990454A"/>
    <w:rsid w:val="69A37EEA"/>
    <w:rsid w:val="69AA784E"/>
    <w:rsid w:val="69CC6D31"/>
    <w:rsid w:val="69E92A91"/>
    <w:rsid w:val="6ACD1811"/>
    <w:rsid w:val="6AE27DE1"/>
    <w:rsid w:val="6B686E01"/>
    <w:rsid w:val="6BA27886"/>
    <w:rsid w:val="6BB53A95"/>
    <w:rsid w:val="6BE7302B"/>
    <w:rsid w:val="6BE82C69"/>
    <w:rsid w:val="6BEE02A6"/>
    <w:rsid w:val="6BFA6E41"/>
    <w:rsid w:val="6BFD47C9"/>
    <w:rsid w:val="6BFE40B9"/>
    <w:rsid w:val="6C3A689C"/>
    <w:rsid w:val="6C4B5232"/>
    <w:rsid w:val="6CDF300C"/>
    <w:rsid w:val="6D246976"/>
    <w:rsid w:val="6D3A6034"/>
    <w:rsid w:val="6D6D737F"/>
    <w:rsid w:val="6DAE032D"/>
    <w:rsid w:val="6E1419C2"/>
    <w:rsid w:val="6E2F6060"/>
    <w:rsid w:val="6E4D74E7"/>
    <w:rsid w:val="6E6A2ACF"/>
    <w:rsid w:val="6F201526"/>
    <w:rsid w:val="6F811B7C"/>
    <w:rsid w:val="6F9D2A0F"/>
    <w:rsid w:val="6F9E54E7"/>
    <w:rsid w:val="6FC040A9"/>
    <w:rsid w:val="6FCA008A"/>
    <w:rsid w:val="6FD24024"/>
    <w:rsid w:val="702018B1"/>
    <w:rsid w:val="7029317C"/>
    <w:rsid w:val="70296E88"/>
    <w:rsid w:val="708E6285"/>
    <w:rsid w:val="71113B06"/>
    <w:rsid w:val="71504733"/>
    <w:rsid w:val="71564C9C"/>
    <w:rsid w:val="715F3BC1"/>
    <w:rsid w:val="71BD1E9E"/>
    <w:rsid w:val="71E5444A"/>
    <w:rsid w:val="71FF5C50"/>
    <w:rsid w:val="72167B08"/>
    <w:rsid w:val="722E743D"/>
    <w:rsid w:val="724817D5"/>
    <w:rsid w:val="72493B35"/>
    <w:rsid w:val="724E4B1F"/>
    <w:rsid w:val="72AA2F61"/>
    <w:rsid w:val="72C928DE"/>
    <w:rsid w:val="73287267"/>
    <w:rsid w:val="73665B70"/>
    <w:rsid w:val="73985210"/>
    <w:rsid w:val="73BF6478"/>
    <w:rsid w:val="740E7EEC"/>
    <w:rsid w:val="746A3F20"/>
    <w:rsid w:val="747859F3"/>
    <w:rsid w:val="74851F82"/>
    <w:rsid w:val="74BD4012"/>
    <w:rsid w:val="75491A51"/>
    <w:rsid w:val="75516DFF"/>
    <w:rsid w:val="759345A2"/>
    <w:rsid w:val="75AF60E4"/>
    <w:rsid w:val="75BF1D13"/>
    <w:rsid w:val="75C51318"/>
    <w:rsid w:val="75D70114"/>
    <w:rsid w:val="76132F95"/>
    <w:rsid w:val="762045BE"/>
    <w:rsid w:val="762F415E"/>
    <w:rsid w:val="763B14A9"/>
    <w:rsid w:val="76894F0E"/>
    <w:rsid w:val="76A01A54"/>
    <w:rsid w:val="76A178ED"/>
    <w:rsid w:val="76B37570"/>
    <w:rsid w:val="76FF3B6F"/>
    <w:rsid w:val="77791328"/>
    <w:rsid w:val="777BDF2E"/>
    <w:rsid w:val="77BB6696"/>
    <w:rsid w:val="77BF459E"/>
    <w:rsid w:val="77D20BDB"/>
    <w:rsid w:val="77EB8354"/>
    <w:rsid w:val="780B00BA"/>
    <w:rsid w:val="781702B6"/>
    <w:rsid w:val="783223C0"/>
    <w:rsid w:val="78811502"/>
    <w:rsid w:val="788B6868"/>
    <w:rsid w:val="78AE460A"/>
    <w:rsid w:val="78CB389B"/>
    <w:rsid w:val="78FF53AF"/>
    <w:rsid w:val="79022C1F"/>
    <w:rsid w:val="791516F0"/>
    <w:rsid w:val="79456B36"/>
    <w:rsid w:val="79C07148"/>
    <w:rsid w:val="79CE3484"/>
    <w:rsid w:val="79E548F0"/>
    <w:rsid w:val="7A3E3C94"/>
    <w:rsid w:val="7A58163C"/>
    <w:rsid w:val="7A5E5F9F"/>
    <w:rsid w:val="7A697C98"/>
    <w:rsid w:val="7A6E0F14"/>
    <w:rsid w:val="7AB1268F"/>
    <w:rsid w:val="7AD00991"/>
    <w:rsid w:val="7B0A1EF7"/>
    <w:rsid w:val="7B0A28DC"/>
    <w:rsid w:val="7B2F3716"/>
    <w:rsid w:val="7B340AAD"/>
    <w:rsid w:val="7B863481"/>
    <w:rsid w:val="7BC13896"/>
    <w:rsid w:val="7BD64AC6"/>
    <w:rsid w:val="7BDF5C00"/>
    <w:rsid w:val="7BF42F41"/>
    <w:rsid w:val="7C211BE0"/>
    <w:rsid w:val="7C993E62"/>
    <w:rsid w:val="7D0D15B6"/>
    <w:rsid w:val="7D247129"/>
    <w:rsid w:val="7D2B3913"/>
    <w:rsid w:val="7DEF3327"/>
    <w:rsid w:val="7DF03B2A"/>
    <w:rsid w:val="7E0E4C55"/>
    <w:rsid w:val="7E2F394A"/>
    <w:rsid w:val="7E4E7936"/>
    <w:rsid w:val="7E5971A9"/>
    <w:rsid w:val="7E6A00D3"/>
    <w:rsid w:val="7E882090"/>
    <w:rsid w:val="7EF01738"/>
    <w:rsid w:val="7F4D5F2F"/>
    <w:rsid w:val="7FB217C7"/>
    <w:rsid w:val="7FB717F2"/>
    <w:rsid w:val="7FF3B80D"/>
    <w:rsid w:val="A9FAA90D"/>
    <w:rsid w:val="B7F5E9B6"/>
    <w:rsid w:val="BBA70247"/>
    <w:rsid w:val="BEDB6F81"/>
    <w:rsid w:val="BEFF5CB5"/>
    <w:rsid w:val="BF5FDD82"/>
    <w:rsid w:val="D7ED0495"/>
    <w:rsid w:val="D9FD837E"/>
    <w:rsid w:val="DF7E050A"/>
    <w:rsid w:val="DFB37F0F"/>
    <w:rsid w:val="DFF7C170"/>
    <w:rsid w:val="E9BFD5BE"/>
    <w:rsid w:val="F7FFC74D"/>
    <w:rsid w:val="FC9FAF39"/>
    <w:rsid w:val="FFE7ECAF"/>
    <w:rsid w:val="FFF61092"/>
    <w:rsid w:val="FFFE7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toc 1"/>
    <w:basedOn w:val="1"/>
    <w:next w:val="1"/>
    <w:qFormat/>
    <w:uiPriority w:val="0"/>
    <w:pPr>
      <w:keepNext w:val="0"/>
      <w:keepLines w:val="0"/>
      <w:widowControl w:val="0"/>
      <w:spacing w:before="120" w:after="120" w:line="240" w:lineRule="auto"/>
      <w:jc w:val="left"/>
      <w:outlineLvl w:val="9"/>
    </w:pPr>
    <w:rPr>
      <w:caps/>
      <w:kern w:val="2"/>
      <w:sz w:val="20"/>
      <w:szCs w:val="20"/>
    </w:rPr>
  </w:style>
  <w:style w:type="paragraph" w:styleId="6">
    <w:name w:val="Body Text"/>
    <w:basedOn w:val="1"/>
    <w:next w:val="1"/>
    <w:qFormat/>
    <w:uiPriority w:val="0"/>
    <w:pPr>
      <w:spacing w:after="120"/>
    </w:pPr>
  </w:style>
  <w:style w:type="paragraph" w:styleId="7">
    <w:name w:val="Body Text Indent"/>
    <w:basedOn w:val="1"/>
    <w:qFormat/>
    <w:uiPriority w:val="0"/>
    <w:pPr>
      <w:ind w:firstLine="200" w:firstLineChars="200"/>
    </w:pPr>
  </w:style>
  <w:style w:type="paragraph" w:styleId="8">
    <w:name w:val="Plain Text"/>
    <w:basedOn w:val="1"/>
    <w:qFormat/>
    <w:uiPriority w:val="0"/>
    <w:rPr>
      <w:rFonts w:ascii="宋体" w:hAnsi="Courier New"/>
      <w:sz w:val="21"/>
    </w:rPr>
  </w:style>
  <w:style w:type="paragraph" w:styleId="9">
    <w:name w:val="Date"/>
    <w:basedOn w:val="1"/>
    <w:next w:val="1"/>
    <w:qFormat/>
    <w:uiPriority w:val="0"/>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rPr>
      <w:sz w:val="24"/>
    </w:rPr>
  </w:style>
  <w:style w:type="paragraph" w:styleId="13">
    <w:name w:val="Body Text First Indent"/>
    <w:basedOn w:val="6"/>
    <w:qFormat/>
    <w:uiPriority w:val="0"/>
    <w:pPr>
      <w:spacing w:line="360" w:lineRule="auto"/>
      <w:ind w:firstLine="420"/>
    </w:pPr>
  </w:style>
  <w:style w:type="paragraph" w:styleId="14">
    <w:name w:val="Body Text First Indent 2"/>
    <w:basedOn w:val="7"/>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font31"/>
    <w:basedOn w:val="17"/>
    <w:qFormat/>
    <w:uiPriority w:val="0"/>
    <w:rPr>
      <w:rFonts w:hint="eastAsia" w:ascii="宋体" w:hAnsi="宋体" w:eastAsia="宋体" w:cs="宋体"/>
      <w:color w:val="000000"/>
      <w:sz w:val="22"/>
      <w:szCs w:val="22"/>
      <w:u w:val="none"/>
    </w:rPr>
  </w:style>
  <w:style w:type="character" w:customStyle="1" w:styleId="21">
    <w:name w:val="font21"/>
    <w:basedOn w:val="17"/>
    <w:qFormat/>
    <w:uiPriority w:val="0"/>
    <w:rPr>
      <w:rFonts w:hint="eastAsia" w:ascii="宋体" w:hAnsi="宋体" w:eastAsia="宋体" w:cs="宋体"/>
      <w:color w:val="000000"/>
      <w:sz w:val="22"/>
      <w:szCs w:val="22"/>
      <w:u w:val="none"/>
    </w:rPr>
  </w:style>
  <w:style w:type="paragraph" w:styleId="22">
    <w:name w:val="List Paragraph"/>
    <w:basedOn w:val="1"/>
    <w:qFormat/>
    <w:uiPriority w:val="34"/>
    <w:pPr>
      <w:ind w:firstLine="420" w:firstLineChars="200"/>
    </w:pPr>
  </w:style>
  <w:style w:type="character" w:customStyle="1" w:styleId="23">
    <w:name w:val="font51"/>
    <w:basedOn w:val="17"/>
    <w:qFormat/>
    <w:uiPriority w:val="0"/>
    <w:rPr>
      <w:rFonts w:hint="eastAsia" w:ascii="宋体" w:hAnsi="宋体" w:eastAsia="宋体" w:cs="宋体"/>
      <w:color w:val="000000"/>
      <w:sz w:val="20"/>
      <w:szCs w:val="20"/>
      <w:u w:val="none"/>
    </w:rPr>
  </w:style>
  <w:style w:type="character" w:customStyle="1" w:styleId="24">
    <w:name w:val="font101"/>
    <w:basedOn w:val="17"/>
    <w:qFormat/>
    <w:uiPriority w:val="0"/>
    <w:rPr>
      <w:rFonts w:hint="default" w:ascii="Times New Roman" w:hAnsi="Times New Roman" w:cs="Times New Roman"/>
      <w:color w:val="000000"/>
      <w:sz w:val="24"/>
      <w:szCs w:val="24"/>
      <w:u w:val="none"/>
    </w:rPr>
  </w:style>
  <w:style w:type="character" w:customStyle="1" w:styleId="25">
    <w:name w:val="font13"/>
    <w:basedOn w:val="17"/>
    <w:qFormat/>
    <w:uiPriority w:val="0"/>
    <w:rPr>
      <w:rFonts w:hint="eastAsia" w:ascii="宋体" w:hAnsi="宋体" w:eastAsia="宋体" w:cs="宋体"/>
      <w:color w:val="000000"/>
      <w:sz w:val="24"/>
      <w:szCs w:val="24"/>
      <w:u w:val="none"/>
    </w:rPr>
  </w:style>
  <w:style w:type="character" w:customStyle="1" w:styleId="26">
    <w:name w:val="font41"/>
    <w:basedOn w:val="17"/>
    <w:qFormat/>
    <w:uiPriority w:val="0"/>
    <w:rPr>
      <w:rFonts w:hint="eastAsia" w:ascii="宋体" w:hAnsi="宋体" w:eastAsia="宋体" w:cs="宋体"/>
      <w:color w:val="000000"/>
      <w:sz w:val="20"/>
      <w:szCs w:val="20"/>
      <w:u w:val="none"/>
    </w:rPr>
  </w:style>
  <w:style w:type="character" w:customStyle="1" w:styleId="27">
    <w:name w:val="font111"/>
    <w:basedOn w:val="17"/>
    <w:qFormat/>
    <w:uiPriority w:val="0"/>
    <w:rPr>
      <w:rFonts w:hint="default" w:ascii="Times New Roman" w:hAnsi="Times New Roman" w:cs="Times New Roman"/>
      <w:color w:val="000000"/>
      <w:sz w:val="20"/>
      <w:szCs w:val="20"/>
      <w:u w:val="none"/>
    </w:rPr>
  </w:style>
  <w:style w:type="character" w:customStyle="1" w:styleId="28">
    <w:name w:val="font121"/>
    <w:basedOn w:val="17"/>
    <w:qFormat/>
    <w:uiPriority w:val="0"/>
    <w:rPr>
      <w:rFonts w:hint="eastAsia" w:ascii="宋体" w:hAnsi="宋体" w:eastAsia="宋体" w:cs="宋体"/>
      <w:color w:val="000000"/>
      <w:sz w:val="20"/>
      <w:szCs w:val="20"/>
      <w:u w:val="none"/>
      <w:vertAlign w:val="subscript"/>
    </w:rPr>
  </w:style>
  <w:style w:type="character" w:customStyle="1" w:styleId="29">
    <w:name w:val="font132"/>
    <w:basedOn w:val="17"/>
    <w:qFormat/>
    <w:uiPriority w:val="0"/>
    <w:rPr>
      <w:rFonts w:hint="eastAsia" w:ascii="宋体" w:hAnsi="宋体" w:eastAsia="宋体" w:cs="宋体"/>
      <w:color w:val="000000"/>
      <w:sz w:val="20"/>
      <w:szCs w:val="20"/>
      <w:u w:val="none"/>
      <w:vertAlign w:val="superscript"/>
    </w:rPr>
  </w:style>
  <w:style w:type="character" w:customStyle="1" w:styleId="30">
    <w:name w:val="font141"/>
    <w:basedOn w:val="17"/>
    <w:qFormat/>
    <w:uiPriority w:val="0"/>
    <w:rPr>
      <w:rFonts w:hint="eastAsia" w:ascii="宋体" w:hAnsi="宋体" w:eastAsia="宋体" w:cs="宋体"/>
      <w:color w:val="000000"/>
      <w:sz w:val="20"/>
      <w:szCs w:val="20"/>
      <w:u w:val="none"/>
    </w:rPr>
  </w:style>
  <w:style w:type="character" w:customStyle="1" w:styleId="31">
    <w:name w:val="font71"/>
    <w:basedOn w:val="17"/>
    <w:qFormat/>
    <w:uiPriority w:val="0"/>
    <w:rPr>
      <w:rFonts w:hint="default" w:ascii="Times New Roman" w:hAnsi="Times New Roman" w:cs="Times New Roman"/>
      <w:color w:val="000000"/>
      <w:sz w:val="20"/>
      <w:szCs w:val="20"/>
      <w:u w:val="none"/>
    </w:rPr>
  </w:style>
  <w:style w:type="character" w:customStyle="1" w:styleId="32">
    <w:name w:val="font91"/>
    <w:basedOn w:val="17"/>
    <w:qFormat/>
    <w:uiPriority w:val="0"/>
    <w:rPr>
      <w:rFonts w:hint="eastAsia" w:ascii="宋体" w:hAnsi="宋体" w:eastAsia="宋体" w:cs="宋体"/>
      <w:color w:val="000000"/>
      <w:sz w:val="21"/>
      <w:szCs w:val="21"/>
      <w:u w:val="none"/>
    </w:rPr>
  </w:style>
  <w:style w:type="character" w:customStyle="1" w:styleId="33">
    <w:name w:val="font81"/>
    <w:basedOn w:val="1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9992</Words>
  <Characters>12228</Characters>
  <Lines>0</Lines>
  <Paragraphs>0</Paragraphs>
  <TotalTime>0</TotalTime>
  <ScaleCrop>false</ScaleCrop>
  <LinksUpToDate>false</LinksUpToDate>
  <CharactersWithSpaces>13083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2025-06-19T01:28:00Z</dcterms:created>
  <dc:creator>艾慧坚</dc:creator>
  <cp:lastModifiedBy>徐映寒</cp:lastModifiedBy>
  <dcterms:modified xsi:type="dcterms:W3CDTF">2026-08-27T01:47:24Z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16B468A290A04B8894B4EA95632B5C9A_13</vt:lpwstr>
  </property>
  <property fmtid="{D5CDD505-2E9C-101B-9397-08002B2CF9AE}" pid="4" name="KSOTemplateDocerSaveRecord">
    <vt:lpwstr>eyJoZGlkIjoiNDI4ZTJmMzU3YWRiMTY1OWE1YmI4YjQ2YjkzNTkyMTMiLCJ1c2VySWQiOiIzNDkwNjY0OTMifQ==</vt:lpwstr>
  </property>
</Properties>
</file>