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医院真菌（1,3）-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β-D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葡聚糖检测试剂盒（光度法）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LX26CG008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  <w:bookmarkStart w:id="21" w:name="_GoBack"/>
      <w:bookmarkEnd w:id="21"/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24103298"/>
      <w:bookmarkStart w:id="1" w:name="_Toc277082535"/>
      <w:bookmarkStart w:id="2" w:name="_Toc109032458"/>
      <w:bookmarkStart w:id="3" w:name="_Toc287620666"/>
      <w:bookmarkStart w:id="4" w:name="_Toc27983215"/>
      <w:bookmarkStart w:id="5" w:name="_Toc509218691"/>
      <w:bookmarkStart w:id="6" w:name="_Toc430530415"/>
      <w:bookmarkStart w:id="7" w:name="_Toc26666"/>
      <w:bookmarkStart w:id="8" w:name="_Toc1889"/>
      <w:bookmarkStart w:id="9" w:name="_Toc287607727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2DC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D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A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真菌（1,3）-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β</w:t>
            </w: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-D葡聚糖检测试剂盒（光度法）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6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辅助诊断侵袭性真菌感染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C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1、检测原理：光度法。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2、试剂盒重复性CV值不大于10%。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C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B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可与微生物动态监测系统配套使用</w:t>
            </w:r>
          </w:p>
        </w:tc>
      </w:tr>
      <w:tr w14:paraId="7CB1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1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B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需氧微生物培养瓶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需阳菌血培养检测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2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1、根据需氧微生物生长释放的CO2所导致的荧光强度变化进行结果判断。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2、采血量8~10ml。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3、培养瓶中含有树脂。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E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1772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1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1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厌氧微生物培养瓶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F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厌氧菌血培养检测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E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1、根据厌氧微生物生长释放的CO2所导致的荧光强度变化进行结果判断。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2、采血量8-10ml。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0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C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496E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5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9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3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需氧微生物培养瓶（儿童瓶）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D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儿童需氧菌血培养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5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1、根据需氧微生物生长释放的CO2所导致的荧光强度变化进行结果判断。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2、采血量：小于等于3ml。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可与全自动细菌培养系统配套使用</w:t>
            </w:r>
          </w:p>
        </w:tc>
      </w:tr>
      <w:tr w14:paraId="5D095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A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2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酵母样真菌药敏卡片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B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真菌药敏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E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1、药敏结果以MIC值形式报告；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2、含有抗真菌药物种类不少于6种。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1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599F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3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2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链球菌药敏卡片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7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链球菌药敏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0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1、可测定肺炎链球菌、乙型溶性链球菌的药敏试验；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2、含有抗菌药物不少于17种；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3、具有检测诱导型克林霉素耐药机制的功能。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6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5D8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8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3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GP革兰氏阳性细菌鉴定卡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4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与现有设备配套应用，用于自动鉴定具有临床意义的革兰氏阳性菌。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8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基于已建立的生化方法及新开发的底物，共有检测碳源利用、酶类活性和耐药性的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43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种生化试验。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7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C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F323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A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GN革兰氏阴性菌鉴定卡片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7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与现有设备配套应用，用于自动鉴定有临床意义的发酵和非发酵革兰阴性杆菌。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F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根据已建立的生化方法和底物来检测碳源的利用、酶活性和耐药性，有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47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个生化试验。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2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0494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7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7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YST酵母菌鉴定卡片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2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用于酵母菌或酵母样真菌鉴定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0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基于已建立的生化反应方法及新开发的底物进行检测。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获得最终鉴定结果时间不超过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18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C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E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7607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F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0F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NH奈瑟菌、嗜血杆菌鉴定卡片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F16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与现有设备配套应用，用于自动鉴定具有临床意义的苛养菌。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A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基于已建立的生化方法和新开发的底物，以检测碳源利用和酶类活性。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需要在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小时左右获得最终的鉴定结果。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4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57D2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A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B2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ANC厌氧菌及棒状杆菌鉴定卡片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32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与现有设备配套应，自动鉴定大多数具有临床意义的厌氧菌和棒状杆菌。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3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基于已建立的生化方法和新开发的底物。共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种生化试验，来检测碳源的利用和酶类的活性。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获得最终的鉴定结果需要不超过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小时。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0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4E74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0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42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AST-N334革兰氏阴性细菌药敏卡片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3C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与现有配套设备配套应用，用于自动检测临床重要需氧革兰阴性杆菌药敏试验。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A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卡片含有包括厄他培南、亚胺培南、替加环素在内的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种抗生素，并能检测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ESBL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1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3FF34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2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02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AST-N335革兰氏阴性细菌药敏卡片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77E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与现有设备配套使用，用于检测临床重要需氧革兰阴性杆菌药敏试验。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8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种抗生素，含有氨曲南、美罗培南、黏菌素。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F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3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1D73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E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48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AST-GP639革兰氏阳性菌药敏卡片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F8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与现有设备配套应用，用于葡萄球菌属、肠球菌属和无乳链球菌属的菌株药敏试验。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D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采用微量和简化程序进行微量倍比稀释法检测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卡片能够检测诱导克林霉素耐药性、头孢西丁筛选试验、庆大霉素高浓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度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协同作用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)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4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F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40E02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A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B82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AST-N399革兰阴性细菌药敏卡片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04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与现有设备配套应用，用于检测具有显著临床意义的需氧革兰阴性菌药敏试验。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E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特殊的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技术的自动化检测方法，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利用微量倍比稀释法来检测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的微量化和简化版本。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种抗生素，包括氨曲南、亚胺培南、美罗培南等，并能检测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ESBL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A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1D96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1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F38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AST-XN18革兰阴性细菌药敏卡片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B5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与现有设备配套应用，用于检测具有显著临床意义的需氧革兰阴性菌药敏试验。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8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特殊的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技术的自动化检测方法，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利用微量倍比稀释法来检测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MIC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的微量化和简化版本。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3.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卡片含有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种抗生素，包括头孢他啶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阿维巴坦、头孢洛扎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他唑巴坦、依拉环素等。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D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E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3E017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4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DF4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（20瓶×500ml/）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DD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用于菌液浊度的调节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6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含有0.45%氯化钠，用于上机前待检样本定量稀释，调节菌液浓度。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051C1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E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A8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（14袋×1000ml）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86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主机内盐水包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3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sz w:val="21"/>
                <w:szCs w:val="21"/>
                <w:lang w:val="en-US" w:eastAsia="zh-CN" w:bidi="ar"/>
              </w:rPr>
              <w:t>含有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0.45%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氯化钠，用于上机检测样本的稀释。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6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B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687F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8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5E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一次性吸管/喷嘴/导管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0C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主机使用的一次性吸管和盐水喷嘴及导管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3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用于上机检测卡的吸样、加样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1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  <w:tr w14:paraId="2076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3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70C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一次性悬浮液管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A3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调节菌液浓度专用配套试管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4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sz w:val="21"/>
                <w:szCs w:val="21"/>
                <w:lang w:val="en-US" w:eastAsia="zh-CN" w:bidi="ar"/>
              </w:rPr>
              <w:t>专用配套，</w:t>
            </w:r>
            <w:r>
              <w:rPr>
                <w:rStyle w:val="26"/>
                <w:rFonts w:eastAsia="宋体"/>
                <w:sz w:val="21"/>
                <w:szCs w:val="21"/>
                <w:lang w:val="en-US" w:eastAsia="zh-CN" w:bidi="ar"/>
              </w:rPr>
              <w:t>PE</w:t>
            </w:r>
            <w:r>
              <w:rPr>
                <w:rStyle w:val="20"/>
                <w:sz w:val="21"/>
                <w:szCs w:val="21"/>
                <w:lang w:val="en-US" w:eastAsia="zh-CN" w:bidi="ar"/>
              </w:rPr>
              <w:t>材料，透明。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6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检验科微生物室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4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可与药敏分析仪配套使用</w:t>
            </w:r>
          </w:p>
        </w:tc>
      </w:tr>
    </w:tbl>
    <w:p w14:paraId="01FB90DF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43D6352F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87620830"/>
      <w:bookmarkStart w:id="15" w:name="_Toc287607883"/>
      <w:bookmarkStart w:id="16" w:name="_Toc27983325"/>
      <w:bookmarkStart w:id="17" w:name="_Toc224103511"/>
      <w:bookmarkStart w:id="18" w:name="_Toc27708265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49EA1D-C2D5-4DBE-9C8C-63715CB148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3E10D5E-0662-44AA-B518-E2864C0CC2C9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24185299-11E7-4258-BD1F-F53CC4399D7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7BCB357-C181-4B3F-A697-40B6A0028F3A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C26643AF-A169-4E4A-BF95-58CFA77D24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05D0B56-A767-427F-AC4F-24E6A6F5A9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153CF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7D752E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AD060C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5C0139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23DF6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590DE0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5">
    <w:name w:val="font61"/>
    <w:basedOn w:val="17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6116</Words>
  <Characters>6436</Characters>
  <Lines>0</Lines>
  <Paragraphs>0</Paragraphs>
  <TotalTime>3</TotalTime>
  <ScaleCrop>false</ScaleCrop>
  <LinksUpToDate>false</LinksUpToDate>
  <CharactersWithSpaces>7102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